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DDEFD2" w14:textId="4DEDD417" w:rsidR="00BE015C" w:rsidRDefault="001A239D" w:rsidP="00BE015C">
      <w:pPr>
        <w:tabs>
          <w:tab w:val="left" w:pos="8560"/>
        </w:tabs>
        <w:spacing w:before="66"/>
        <w:ind w:left="381"/>
        <w:rPr>
          <w:sz w:val="24"/>
        </w:rPr>
      </w:pPr>
      <w:bookmarkStart w:id="0" w:name="_GoBack"/>
      <w:bookmarkEnd w:id="0"/>
      <w:r>
        <w:rPr>
          <w:b/>
          <w:sz w:val="24"/>
          <w:u w:val="single"/>
        </w:rPr>
        <w:t>Supplementary material</w:t>
      </w:r>
      <w:r w:rsidR="00BE015C">
        <w:rPr>
          <w:b/>
          <w:sz w:val="24"/>
          <w:u w:val="single"/>
        </w:rPr>
        <w:t xml:space="preserve"> </w:t>
      </w:r>
      <w:r w:rsidR="00E37F8F">
        <w:rPr>
          <w:b/>
          <w:sz w:val="24"/>
          <w:u w:val="single"/>
        </w:rPr>
        <w:t>3</w:t>
      </w:r>
      <w:r w:rsidR="00BE015C">
        <w:rPr>
          <w:sz w:val="24"/>
          <w:u w:val="single"/>
        </w:rPr>
        <w:t>: Excluded studies and the</w:t>
      </w:r>
      <w:r w:rsidR="00BE015C">
        <w:rPr>
          <w:spacing w:val="-11"/>
          <w:sz w:val="24"/>
          <w:u w:val="single"/>
        </w:rPr>
        <w:t xml:space="preserve"> </w:t>
      </w:r>
      <w:r w:rsidR="00BE015C">
        <w:rPr>
          <w:sz w:val="24"/>
          <w:u w:val="single"/>
        </w:rPr>
        <w:t>rationale</w:t>
      </w:r>
      <w:r w:rsidR="00BE015C">
        <w:rPr>
          <w:sz w:val="24"/>
          <w:u w:val="single"/>
        </w:rPr>
        <w:tab/>
      </w:r>
    </w:p>
    <w:p w14:paraId="5B460595" w14:textId="77777777" w:rsidR="00BE015C" w:rsidRDefault="00BE015C" w:rsidP="00BE015C">
      <w:pPr>
        <w:pStyle w:val="BodyText"/>
        <w:spacing w:before="6"/>
        <w:rPr>
          <w:sz w:val="6"/>
        </w:rPr>
      </w:pPr>
    </w:p>
    <w:tbl>
      <w:tblPr>
        <w:tblW w:w="0" w:type="auto"/>
        <w:tblInd w:w="38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1"/>
        <w:gridCol w:w="2834"/>
        <w:gridCol w:w="4662"/>
      </w:tblGrid>
      <w:tr w:rsidR="00BE015C" w14:paraId="43A6B74B" w14:textId="77777777" w:rsidTr="009F214A">
        <w:trPr>
          <w:trHeight w:val="357"/>
        </w:trPr>
        <w:tc>
          <w:tcPr>
            <w:tcW w:w="691" w:type="dxa"/>
            <w:tcBorders>
              <w:bottom w:val="single" w:sz="4" w:space="0" w:color="000000"/>
            </w:tcBorders>
          </w:tcPr>
          <w:p w14:paraId="28510B1C" w14:textId="77777777" w:rsidR="00BE015C" w:rsidRDefault="00BE015C" w:rsidP="009F214A">
            <w:pPr>
              <w:pStyle w:val="TableParagraph"/>
              <w:spacing w:line="266" w:lineRule="exact"/>
              <w:ind w:left="64"/>
              <w:rPr>
                <w:b/>
                <w:sz w:val="24"/>
              </w:rPr>
            </w:pPr>
            <w:r>
              <w:rPr>
                <w:b/>
                <w:sz w:val="24"/>
              </w:rPr>
              <w:t>No</w:t>
            </w:r>
          </w:p>
        </w:tc>
        <w:tc>
          <w:tcPr>
            <w:tcW w:w="2834" w:type="dxa"/>
            <w:tcBorders>
              <w:bottom w:val="single" w:sz="4" w:space="0" w:color="000000"/>
            </w:tcBorders>
          </w:tcPr>
          <w:p w14:paraId="4823ECD1" w14:textId="77777777" w:rsidR="00BE015C" w:rsidRDefault="00BE015C" w:rsidP="009F214A">
            <w:pPr>
              <w:pStyle w:val="TableParagraph"/>
              <w:spacing w:line="266" w:lineRule="exact"/>
              <w:ind w:left="333"/>
              <w:rPr>
                <w:b/>
                <w:sz w:val="24"/>
              </w:rPr>
            </w:pPr>
            <w:r>
              <w:rPr>
                <w:b/>
                <w:sz w:val="24"/>
              </w:rPr>
              <w:t>Studies excluded</w:t>
            </w:r>
          </w:p>
        </w:tc>
        <w:tc>
          <w:tcPr>
            <w:tcW w:w="4662" w:type="dxa"/>
            <w:tcBorders>
              <w:bottom w:val="single" w:sz="4" w:space="0" w:color="000000"/>
            </w:tcBorders>
          </w:tcPr>
          <w:p w14:paraId="2540D7E2" w14:textId="77777777" w:rsidR="00BE015C" w:rsidRDefault="00BE015C" w:rsidP="009F214A">
            <w:pPr>
              <w:pStyle w:val="TableParagraph"/>
              <w:spacing w:line="266" w:lineRule="exact"/>
              <w:ind w:left="82"/>
              <w:rPr>
                <w:b/>
                <w:sz w:val="24"/>
              </w:rPr>
            </w:pPr>
            <w:r>
              <w:rPr>
                <w:b/>
                <w:sz w:val="24"/>
              </w:rPr>
              <w:t>Reason for exclusion</w:t>
            </w:r>
          </w:p>
        </w:tc>
      </w:tr>
      <w:tr w:rsidR="00BE015C" w14:paraId="5B2F0D4A" w14:textId="77777777" w:rsidTr="009F214A">
        <w:trPr>
          <w:trHeight w:val="391"/>
        </w:trPr>
        <w:tc>
          <w:tcPr>
            <w:tcW w:w="691" w:type="dxa"/>
            <w:tcBorders>
              <w:top w:val="single" w:sz="4" w:space="0" w:color="000000"/>
            </w:tcBorders>
          </w:tcPr>
          <w:p w14:paraId="6DD288F1" w14:textId="77777777" w:rsidR="00BE015C" w:rsidRDefault="00BE015C" w:rsidP="009F214A">
            <w:pPr>
              <w:pStyle w:val="TableParagraph"/>
              <w:spacing w:before="39"/>
              <w:ind w:left="6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4" w:type="dxa"/>
            <w:tcBorders>
              <w:top w:val="single" w:sz="4" w:space="0" w:color="000000"/>
            </w:tcBorders>
          </w:tcPr>
          <w:p w14:paraId="40DC7771" w14:textId="77777777" w:rsidR="00BE015C" w:rsidRDefault="00BE015C" w:rsidP="009F214A">
            <w:pPr>
              <w:pStyle w:val="TableParagraph"/>
              <w:spacing w:before="39"/>
              <w:ind w:left="333"/>
              <w:rPr>
                <w:sz w:val="24"/>
              </w:rPr>
            </w:pPr>
            <w:r>
              <w:rPr>
                <w:sz w:val="24"/>
              </w:rPr>
              <w:t>Andrade Ortega 2017 [1]</w:t>
            </w:r>
          </w:p>
        </w:tc>
        <w:tc>
          <w:tcPr>
            <w:tcW w:w="4662" w:type="dxa"/>
            <w:tcBorders>
              <w:top w:val="single" w:sz="4" w:space="0" w:color="000000"/>
            </w:tcBorders>
          </w:tcPr>
          <w:p w14:paraId="64DF077C" w14:textId="77777777" w:rsidR="00BE015C" w:rsidRDefault="00BE015C" w:rsidP="009F214A">
            <w:pPr>
              <w:pStyle w:val="TableParagraph"/>
              <w:spacing w:before="39"/>
              <w:ind w:left="82"/>
              <w:rPr>
                <w:sz w:val="24"/>
              </w:rPr>
            </w:pPr>
            <w:r>
              <w:rPr>
                <w:sz w:val="24"/>
              </w:rPr>
              <w:t>Not lymphoedema-specific SRQ</w:t>
            </w:r>
          </w:p>
        </w:tc>
      </w:tr>
      <w:tr w:rsidR="00BE015C" w14:paraId="22D28A98" w14:textId="77777777" w:rsidTr="009F214A">
        <w:trPr>
          <w:trHeight w:val="397"/>
        </w:trPr>
        <w:tc>
          <w:tcPr>
            <w:tcW w:w="691" w:type="dxa"/>
          </w:tcPr>
          <w:p w14:paraId="371DC9A4" w14:textId="77777777" w:rsidR="00BE015C" w:rsidRDefault="00BE015C" w:rsidP="009F214A">
            <w:pPr>
              <w:pStyle w:val="TableParagraph"/>
              <w:spacing w:before="65"/>
              <w:ind w:left="6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834" w:type="dxa"/>
          </w:tcPr>
          <w:p w14:paraId="0CCD78CA" w14:textId="77777777" w:rsidR="00BE015C" w:rsidRDefault="00BE015C" w:rsidP="009F214A">
            <w:pPr>
              <w:pStyle w:val="TableParagraph"/>
              <w:spacing w:before="65"/>
              <w:ind w:left="333"/>
              <w:rPr>
                <w:sz w:val="24"/>
              </w:rPr>
            </w:pPr>
            <w:r>
              <w:rPr>
                <w:sz w:val="24"/>
              </w:rPr>
              <w:t>Armer 2003 [2]</w:t>
            </w:r>
          </w:p>
        </w:tc>
        <w:tc>
          <w:tcPr>
            <w:tcW w:w="4662" w:type="dxa"/>
          </w:tcPr>
          <w:p w14:paraId="419F998D" w14:textId="77777777" w:rsidR="00BE015C" w:rsidRDefault="00BE015C" w:rsidP="009F214A">
            <w:pPr>
              <w:pStyle w:val="TableParagraph"/>
              <w:spacing w:before="65"/>
              <w:ind w:left="82"/>
              <w:rPr>
                <w:sz w:val="24"/>
              </w:rPr>
            </w:pPr>
            <w:r>
              <w:rPr>
                <w:sz w:val="24"/>
              </w:rPr>
              <w:t>Not an SRQ interview-based</w:t>
            </w:r>
          </w:p>
        </w:tc>
      </w:tr>
      <w:tr w:rsidR="00BE015C" w14:paraId="6C5508D3" w14:textId="77777777" w:rsidTr="009F214A">
        <w:trPr>
          <w:trHeight w:val="692"/>
        </w:trPr>
        <w:tc>
          <w:tcPr>
            <w:tcW w:w="691" w:type="dxa"/>
          </w:tcPr>
          <w:p w14:paraId="021BB0EE" w14:textId="77777777" w:rsidR="00BE015C" w:rsidRDefault="00BE015C" w:rsidP="009F214A">
            <w:pPr>
              <w:pStyle w:val="TableParagraph"/>
              <w:spacing w:before="45"/>
              <w:ind w:left="64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834" w:type="dxa"/>
          </w:tcPr>
          <w:p w14:paraId="7B5F476A" w14:textId="77777777" w:rsidR="00BE015C" w:rsidRDefault="00BE015C" w:rsidP="009F214A">
            <w:pPr>
              <w:pStyle w:val="TableParagraph"/>
              <w:spacing w:before="45"/>
              <w:ind w:left="333"/>
              <w:rPr>
                <w:sz w:val="24"/>
              </w:rPr>
            </w:pPr>
            <w:r>
              <w:rPr>
                <w:sz w:val="24"/>
              </w:rPr>
              <w:t>Babu 2006 [3]</w:t>
            </w:r>
          </w:p>
        </w:tc>
        <w:tc>
          <w:tcPr>
            <w:tcW w:w="4662" w:type="dxa"/>
          </w:tcPr>
          <w:p w14:paraId="1143AD1E" w14:textId="77777777" w:rsidR="00BE015C" w:rsidRDefault="00BE015C" w:rsidP="009F214A">
            <w:pPr>
              <w:pStyle w:val="TableParagraph"/>
              <w:spacing w:before="45"/>
              <w:ind w:left="82" w:right="274"/>
              <w:rPr>
                <w:sz w:val="24"/>
              </w:rPr>
            </w:pPr>
            <w:r>
              <w:rPr>
                <w:sz w:val="24"/>
              </w:rPr>
              <w:t>Not exclusively lymphoedema-specific SRQ (Lymphatic filariasis)</w:t>
            </w:r>
          </w:p>
        </w:tc>
      </w:tr>
      <w:tr w:rsidR="00BE015C" w14:paraId="03F99D88" w14:textId="77777777" w:rsidTr="009F214A">
        <w:trPr>
          <w:trHeight w:val="693"/>
        </w:trPr>
        <w:tc>
          <w:tcPr>
            <w:tcW w:w="691" w:type="dxa"/>
          </w:tcPr>
          <w:p w14:paraId="154077F2" w14:textId="77777777" w:rsidR="00BE015C" w:rsidRDefault="00BE015C" w:rsidP="009F214A">
            <w:pPr>
              <w:pStyle w:val="TableParagraph"/>
              <w:spacing w:before="85"/>
              <w:ind w:left="64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834" w:type="dxa"/>
          </w:tcPr>
          <w:p w14:paraId="65464AF7" w14:textId="77777777" w:rsidR="00BE015C" w:rsidRDefault="00BE015C" w:rsidP="009F214A">
            <w:pPr>
              <w:pStyle w:val="TableParagraph"/>
              <w:spacing w:before="85"/>
              <w:ind w:left="333" w:right="261"/>
              <w:rPr>
                <w:sz w:val="24"/>
              </w:rPr>
            </w:pPr>
            <w:r>
              <w:rPr>
                <w:sz w:val="24"/>
              </w:rPr>
              <w:t>Brandini da Silva 2019 [4]</w:t>
            </w:r>
          </w:p>
        </w:tc>
        <w:tc>
          <w:tcPr>
            <w:tcW w:w="4662" w:type="dxa"/>
          </w:tcPr>
          <w:p w14:paraId="54B6CD95" w14:textId="77777777" w:rsidR="00BE015C" w:rsidRDefault="00BE015C" w:rsidP="009F214A">
            <w:pPr>
              <w:pStyle w:val="TableParagraph"/>
              <w:spacing w:before="85"/>
              <w:ind w:left="82"/>
              <w:rPr>
                <w:sz w:val="24"/>
              </w:rPr>
            </w:pPr>
            <w:r>
              <w:rPr>
                <w:sz w:val="24"/>
              </w:rPr>
              <w:t>Not exclusively lymphoedema-specific SRQ</w:t>
            </w:r>
          </w:p>
        </w:tc>
      </w:tr>
      <w:tr w:rsidR="00BE015C" w14:paraId="292966AD" w14:textId="77777777" w:rsidTr="009F214A">
        <w:trPr>
          <w:trHeight w:val="397"/>
        </w:trPr>
        <w:tc>
          <w:tcPr>
            <w:tcW w:w="691" w:type="dxa"/>
          </w:tcPr>
          <w:p w14:paraId="1A1D1A10" w14:textId="77777777" w:rsidR="00BE015C" w:rsidRDefault="00BE015C" w:rsidP="009F214A">
            <w:pPr>
              <w:pStyle w:val="TableParagraph"/>
              <w:spacing w:before="46"/>
              <w:ind w:left="64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834" w:type="dxa"/>
          </w:tcPr>
          <w:p w14:paraId="697D9F5E" w14:textId="77777777" w:rsidR="00BE015C" w:rsidRDefault="00BE015C" w:rsidP="009F214A">
            <w:pPr>
              <w:pStyle w:val="TableParagraph"/>
              <w:spacing w:before="46"/>
              <w:ind w:left="333"/>
              <w:rPr>
                <w:sz w:val="24"/>
              </w:rPr>
            </w:pPr>
            <w:r>
              <w:rPr>
                <w:sz w:val="24"/>
              </w:rPr>
              <w:t>Bulley 2013 [5]</w:t>
            </w:r>
          </w:p>
        </w:tc>
        <w:tc>
          <w:tcPr>
            <w:tcW w:w="4662" w:type="dxa"/>
          </w:tcPr>
          <w:p w14:paraId="1357C4E6" w14:textId="77777777" w:rsidR="00BE015C" w:rsidRDefault="00BE015C" w:rsidP="009F214A">
            <w:pPr>
              <w:pStyle w:val="TableParagraph"/>
              <w:spacing w:before="46"/>
              <w:ind w:left="82"/>
              <w:rPr>
                <w:sz w:val="24"/>
              </w:rPr>
            </w:pPr>
            <w:r>
              <w:rPr>
                <w:sz w:val="24"/>
              </w:rPr>
              <w:t>Not a validation study (SRQ used)</w:t>
            </w:r>
          </w:p>
        </w:tc>
      </w:tr>
      <w:tr w:rsidR="00BE015C" w14:paraId="296CEBDE" w14:textId="77777777" w:rsidTr="009F214A">
        <w:trPr>
          <w:trHeight w:val="673"/>
        </w:trPr>
        <w:tc>
          <w:tcPr>
            <w:tcW w:w="691" w:type="dxa"/>
          </w:tcPr>
          <w:p w14:paraId="3454BA63" w14:textId="77777777" w:rsidR="00BE015C" w:rsidRDefault="00BE015C" w:rsidP="009F214A">
            <w:pPr>
              <w:pStyle w:val="TableParagraph"/>
              <w:spacing w:before="64"/>
              <w:ind w:left="64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834" w:type="dxa"/>
          </w:tcPr>
          <w:p w14:paraId="317F4301" w14:textId="77777777" w:rsidR="00BE015C" w:rsidRDefault="00BE015C" w:rsidP="009F214A">
            <w:pPr>
              <w:pStyle w:val="TableParagraph"/>
              <w:spacing w:before="64"/>
              <w:ind w:left="333"/>
              <w:rPr>
                <w:sz w:val="24"/>
              </w:rPr>
            </w:pPr>
            <w:r>
              <w:rPr>
                <w:sz w:val="24"/>
              </w:rPr>
              <w:t>Bulley 2014 [6]</w:t>
            </w:r>
          </w:p>
        </w:tc>
        <w:tc>
          <w:tcPr>
            <w:tcW w:w="4662" w:type="dxa"/>
          </w:tcPr>
          <w:p w14:paraId="7A3A4B6F" w14:textId="77777777" w:rsidR="00BE015C" w:rsidRDefault="00BE015C" w:rsidP="009F214A">
            <w:pPr>
              <w:pStyle w:val="TableParagraph"/>
              <w:spacing w:before="64"/>
              <w:ind w:left="82" w:right="274"/>
              <w:rPr>
                <w:sz w:val="24"/>
              </w:rPr>
            </w:pPr>
            <w:r>
              <w:rPr>
                <w:sz w:val="24"/>
              </w:rPr>
              <w:t>Not exclusively lymphoedema-specific SRQ &amp; screening tool</w:t>
            </w:r>
          </w:p>
        </w:tc>
      </w:tr>
      <w:tr w:rsidR="00BE015C" w14:paraId="73562809" w14:textId="77777777" w:rsidTr="009F214A">
        <w:trPr>
          <w:trHeight w:val="398"/>
        </w:trPr>
        <w:tc>
          <w:tcPr>
            <w:tcW w:w="691" w:type="dxa"/>
          </w:tcPr>
          <w:p w14:paraId="52A177F1" w14:textId="77777777" w:rsidR="00BE015C" w:rsidRDefault="00BE015C" w:rsidP="009F214A">
            <w:pPr>
              <w:pStyle w:val="TableParagraph"/>
              <w:spacing w:before="46"/>
              <w:ind w:left="64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834" w:type="dxa"/>
          </w:tcPr>
          <w:p w14:paraId="17833FA8" w14:textId="77777777" w:rsidR="00BE015C" w:rsidRDefault="00BE015C" w:rsidP="009F214A">
            <w:pPr>
              <w:pStyle w:val="TableParagraph"/>
              <w:spacing w:before="46"/>
              <w:ind w:left="333"/>
              <w:rPr>
                <w:sz w:val="24"/>
              </w:rPr>
            </w:pPr>
            <w:r>
              <w:rPr>
                <w:sz w:val="24"/>
              </w:rPr>
              <w:t>Carter 2010 [7]</w:t>
            </w:r>
          </w:p>
        </w:tc>
        <w:tc>
          <w:tcPr>
            <w:tcW w:w="4662" w:type="dxa"/>
          </w:tcPr>
          <w:p w14:paraId="212DC11D" w14:textId="77777777" w:rsidR="00BE015C" w:rsidRDefault="00BE015C" w:rsidP="009F214A">
            <w:pPr>
              <w:pStyle w:val="TableParagraph"/>
              <w:spacing w:before="46"/>
              <w:ind w:left="82"/>
              <w:rPr>
                <w:sz w:val="24"/>
              </w:rPr>
            </w:pPr>
            <w:r>
              <w:rPr>
                <w:sz w:val="24"/>
              </w:rPr>
              <w:t>Not the indented setting-screening tool</w:t>
            </w:r>
          </w:p>
        </w:tc>
      </w:tr>
      <w:tr w:rsidR="00BE015C" w14:paraId="7627793D" w14:textId="77777777" w:rsidTr="009F214A">
        <w:trPr>
          <w:trHeight w:val="712"/>
        </w:trPr>
        <w:tc>
          <w:tcPr>
            <w:tcW w:w="691" w:type="dxa"/>
          </w:tcPr>
          <w:p w14:paraId="4B4ACB71" w14:textId="77777777" w:rsidR="00BE015C" w:rsidRDefault="00BE015C" w:rsidP="009F214A">
            <w:pPr>
              <w:pStyle w:val="TableParagraph"/>
              <w:spacing w:before="65"/>
              <w:ind w:left="64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834" w:type="dxa"/>
          </w:tcPr>
          <w:p w14:paraId="0F6B96BB" w14:textId="77777777" w:rsidR="00BE015C" w:rsidRDefault="00BE015C" w:rsidP="009F214A">
            <w:pPr>
              <w:pStyle w:val="TableParagraph"/>
              <w:spacing w:before="65"/>
              <w:ind w:left="333"/>
              <w:rPr>
                <w:sz w:val="24"/>
              </w:rPr>
            </w:pPr>
            <w:r>
              <w:rPr>
                <w:sz w:val="24"/>
              </w:rPr>
              <w:t>Chandrasena 2007 [8]</w:t>
            </w:r>
          </w:p>
        </w:tc>
        <w:tc>
          <w:tcPr>
            <w:tcW w:w="4662" w:type="dxa"/>
          </w:tcPr>
          <w:p w14:paraId="2D822DE5" w14:textId="77777777" w:rsidR="00BE015C" w:rsidRDefault="00BE015C" w:rsidP="009F214A">
            <w:pPr>
              <w:pStyle w:val="TableParagraph"/>
              <w:spacing w:before="65"/>
              <w:ind w:left="82" w:right="274"/>
              <w:rPr>
                <w:sz w:val="24"/>
              </w:rPr>
            </w:pPr>
            <w:r>
              <w:rPr>
                <w:sz w:val="24"/>
              </w:rPr>
              <w:t>Not exclusively lymphoedema-specific SRQ (Lymphatic filariasis)</w:t>
            </w:r>
          </w:p>
        </w:tc>
      </w:tr>
      <w:tr w:rsidR="00BE015C" w14:paraId="63C9FFE0" w14:textId="77777777" w:rsidTr="009F214A">
        <w:trPr>
          <w:trHeight w:val="416"/>
        </w:trPr>
        <w:tc>
          <w:tcPr>
            <w:tcW w:w="691" w:type="dxa"/>
          </w:tcPr>
          <w:p w14:paraId="63630B33" w14:textId="77777777" w:rsidR="00BE015C" w:rsidRDefault="00BE015C" w:rsidP="009F214A">
            <w:pPr>
              <w:pStyle w:val="TableParagraph"/>
              <w:spacing w:before="85"/>
              <w:ind w:left="64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834" w:type="dxa"/>
          </w:tcPr>
          <w:p w14:paraId="69B18F0C" w14:textId="77777777" w:rsidR="00BE015C" w:rsidRDefault="00BE015C" w:rsidP="009F214A">
            <w:pPr>
              <w:pStyle w:val="TableParagraph"/>
              <w:spacing w:before="85"/>
              <w:ind w:left="333"/>
              <w:rPr>
                <w:sz w:val="24"/>
              </w:rPr>
            </w:pPr>
            <w:r>
              <w:rPr>
                <w:sz w:val="24"/>
              </w:rPr>
              <w:t>Czerniec 2010 [9]</w:t>
            </w:r>
          </w:p>
        </w:tc>
        <w:tc>
          <w:tcPr>
            <w:tcW w:w="4662" w:type="dxa"/>
          </w:tcPr>
          <w:p w14:paraId="5BC9B24C" w14:textId="77777777" w:rsidR="00BE015C" w:rsidRDefault="00BE015C" w:rsidP="009F214A">
            <w:pPr>
              <w:pStyle w:val="TableParagraph"/>
              <w:spacing w:before="85"/>
              <w:ind w:left="82"/>
              <w:rPr>
                <w:sz w:val="24"/>
              </w:rPr>
            </w:pPr>
            <w:r>
              <w:rPr>
                <w:sz w:val="24"/>
              </w:rPr>
              <w:t>Not an SRQ-One item self-report</w:t>
            </w:r>
          </w:p>
        </w:tc>
      </w:tr>
      <w:tr w:rsidR="00BE015C" w14:paraId="34FBCAE1" w14:textId="77777777" w:rsidTr="009F214A">
        <w:trPr>
          <w:trHeight w:val="397"/>
        </w:trPr>
        <w:tc>
          <w:tcPr>
            <w:tcW w:w="691" w:type="dxa"/>
          </w:tcPr>
          <w:p w14:paraId="576A0E4A" w14:textId="77777777" w:rsidR="00BE015C" w:rsidRDefault="00BE015C" w:rsidP="009F214A">
            <w:pPr>
              <w:pStyle w:val="TableParagraph"/>
              <w:spacing w:before="45"/>
              <w:ind w:left="64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834" w:type="dxa"/>
          </w:tcPr>
          <w:p w14:paraId="1AB30587" w14:textId="77777777" w:rsidR="00BE015C" w:rsidRDefault="00BE015C" w:rsidP="009F214A">
            <w:pPr>
              <w:pStyle w:val="TableParagraph"/>
              <w:spacing w:before="45"/>
              <w:ind w:left="333"/>
              <w:rPr>
                <w:sz w:val="24"/>
              </w:rPr>
            </w:pPr>
            <w:r>
              <w:rPr>
                <w:sz w:val="24"/>
              </w:rPr>
              <w:t>Davies 2015 [10]</w:t>
            </w:r>
          </w:p>
        </w:tc>
        <w:tc>
          <w:tcPr>
            <w:tcW w:w="4662" w:type="dxa"/>
          </w:tcPr>
          <w:p w14:paraId="60E7BAF2" w14:textId="77777777" w:rsidR="00BE015C" w:rsidRDefault="00BE015C" w:rsidP="009F214A">
            <w:pPr>
              <w:pStyle w:val="TableParagraph"/>
              <w:spacing w:before="45"/>
              <w:ind w:left="82"/>
              <w:rPr>
                <w:sz w:val="24"/>
              </w:rPr>
            </w:pPr>
            <w:r>
              <w:rPr>
                <w:sz w:val="24"/>
              </w:rPr>
              <w:t>Not lymphoedema-specific SRQ</w:t>
            </w:r>
          </w:p>
        </w:tc>
      </w:tr>
      <w:tr w:rsidR="00BE015C" w14:paraId="7595FDD6" w14:textId="77777777" w:rsidTr="009F214A">
        <w:trPr>
          <w:trHeight w:val="417"/>
        </w:trPr>
        <w:tc>
          <w:tcPr>
            <w:tcW w:w="691" w:type="dxa"/>
          </w:tcPr>
          <w:p w14:paraId="3AA2E1F8" w14:textId="77777777" w:rsidR="00BE015C" w:rsidRDefault="00BE015C" w:rsidP="009F214A">
            <w:pPr>
              <w:pStyle w:val="TableParagraph"/>
              <w:spacing w:before="65"/>
              <w:ind w:left="64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834" w:type="dxa"/>
          </w:tcPr>
          <w:p w14:paraId="15C3C4D5" w14:textId="77777777" w:rsidR="00BE015C" w:rsidRDefault="00BE015C" w:rsidP="009F214A">
            <w:pPr>
              <w:pStyle w:val="TableParagraph"/>
              <w:spacing w:before="65"/>
              <w:ind w:left="333"/>
              <w:rPr>
                <w:sz w:val="24"/>
              </w:rPr>
            </w:pPr>
            <w:r>
              <w:rPr>
                <w:sz w:val="24"/>
              </w:rPr>
              <w:t>Deng 2014 [11]</w:t>
            </w:r>
          </w:p>
        </w:tc>
        <w:tc>
          <w:tcPr>
            <w:tcW w:w="4662" w:type="dxa"/>
          </w:tcPr>
          <w:p w14:paraId="1262DBC6" w14:textId="77777777" w:rsidR="00BE015C" w:rsidRDefault="00BE015C" w:rsidP="009F214A">
            <w:pPr>
              <w:pStyle w:val="TableParagraph"/>
              <w:spacing w:before="65"/>
              <w:ind w:left="82"/>
              <w:rPr>
                <w:sz w:val="24"/>
              </w:rPr>
            </w:pPr>
            <w:r>
              <w:rPr>
                <w:sz w:val="24"/>
              </w:rPr>
              <w:t>Full text not available</w:t>
            </w:r>
          </w:p>
        </w:tc>
      </w:tr>
      <w:tr w:rsidR="00BE015C" w14:paraId="091517C5" w14:textId="77777777" w:rsidTr="009F214A">
        <w:trPr>
          <w:trHeight w:val="416"/>
        </w:trPr>
        <w:tc>
          <w:tcPr>
            <w:tcW w:w="691" w:type="dxa"/>
          </w:tcPr>
          <w:p w14:paraId="163802D1" w14:textId="77777777" w:rsidR="00BE015C" w:rsidRDefault="00BE015C" w:rsidP="009F214A">
            <w:pPr>
              <w:pStyle w:val="TableParagraph"/>
              <w:spacing w:before="65"/>
              <w:ind w:left="64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834" w:type="dxa"/>
          </w:tcPr>
          <w:p w14:paraId="7DD0BA01" w14:textId="77777777" w:rsidR="00BE015C" w:rsidRDefault="00BE015C" w:rsidP="009F214A">
            <w:pPr>
              <w:pStyle w:val="TableParagraph"/>
              <w:spacing w:before="65"/>
              <w:ind w:left="333"/>
              <w:rPr>
                <w:sz w:val="24"/>
              </w:rPr>
            </w:pPr>
            <w:r>
              <w:rPr>
                <w:sz w:val="24"/>
              </w:rPr>
              <w:t>Deng 2015 [12]</w:t>
            </w:r>
          </w:p>
        </w:tc>
        <w:tc>
          <w:tcPr>
            <w:tcW w:w="4662" w:type="dxa"/>
          </w:tcPr>
          <w:p w14:paraId="4B7CAD67" w14:textId="77777777" w:rsidR="00BE015C" w:rsidRDefault="00BE015C" w:rsidP="009F214A">
            <w:pPr>
              <w:pStyle w:val="TableParagraph"/>
              <w:spacing w:before="65"/>
              <w:ind w:left="82"/>
              <w:rPr>
                <w:sz w:val="24"/>
              </w:rPr>
            </w:pPr>
            <w:r>
              <w:rPr>
                <w:sz w:val="24"/>
              </w:rPr>
              <w:t>Not an SRQ</w:t>
            </w:r>
          </w:p>
        </w:tc>
      </w:tr>
      <w:tr w:rsidR="00BE015C" w14:paraId="04A80CED" w14:textId="77777777" w:rsidTr="009F214A">
        <w:trPr>
          <w:trHeight w:val="416"/>
        </w:trPr>
        <w:tc>
          <w:tcPr>
            <w:tcW w:w="691" w:type="dxa"/>
          </w:tcPr>
          <w:p w14:paraId="093DA1C2" w14:textId="77777777" w:rsidR="00BE015C" w:rsidRDefault="00BE015C" w:rsidP="009F214A">
            <w:pPr>
              <w:pStyle w:val="TableParagraph"/>
              <w:spacing w:before="64"/>
              <w:ind w:left="64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834" w:type="dxa"/>
          </w:tcPr>
          <w:p w14:paraId="1C734401" w14:textId="77777777" w:rsidR="00BE015C" w:rsidRDefault="00BE015C" w:rsidP="009F214A">
            <w:pPr>
              <w:pStyle w:val="TableParagraph"/>
              <w:spacing w:before="64"/>
              <w:ind w:left="333"/>
              <w:rPr>
                <w:sz w:val="24"/>
              </w:rPr>
            </w:pPr>
            <w:r>
              <w:rPr>
                <w:sz w:val="24"/>
              </w:rPr>
              <w:t>Deng 2015 [13]</w:t>
            </w:r>
          </w:p>
        </w:tc>
        <w:tc>
          <w:tcPr>
            <w:tcW w:w="4662" w:type="dxa"/>
          </w:tcPr>
          <w:p w14:paraId="0D049A81" w14:textId="77777777" w:rsidR="00BE015C" w:rsidRDefault="00BE015C" w:rsidP="009F214A">
            <w:pPr>
              <w:pStyle w:val="TableParagraph"/>
              <w:spacing w:before="64"/>
              <w:ind w:left="82"/>
              <w:rPr>
                <w:sz w:val="24"/>
              </w:rPr>
            </w:pPr>
            <w:r>
              <w:rPr>
                <w:sz w:val="24"/>
              </w:rPr>
              <w:t>Not an SRQ</w:t>
            </w:r>
          </w:p>
        </w:tc>
      </w:tr>
      <w:tr w:rsidR="00BE015C" w14:paraId="0D61543D" w14:textId="77777777" w:rsidTr="009F214A">
        <w:trPr>
          <w:trHeight w:val="417"/>
        </w:trPr>
        <w:tc>
          <w:tcPr>
            <w:tcW w:w="691" w:type="dxa"/>
          </w:tcPr>
          <w:p w14:paraId="3E048D34" w14:textId="77777777" w:rsidR="00BE015C" w:rsidRDefault="00BE015C" w:rsidP="009F214A">
            <w:pPr>
              <w:pStyle w:val="TableParagraph"/>
              <w:spacing w:before="65"/>
              <w:ind w:left="64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834" w:type="dxa"/>
          </w:tcPr>
          <w:p w14:paraId="4FA9EB11" w14:textId="77777777" w:rsidR="00BE015C" w:rsidRDefault="00BE015C" w:rsidP="009F214A">
            <w:pPr>
              <w:pStyle w:val="TableParagraph"/>
              <w:spacing w:before="65"/>
              <w:ind w:left="333"/>
              <w:rPr>
                <w:sz w:val="24"/>
              </w:rPr>
            </w:pPr>
            <w:r>
              <w:rPr>
                <w:sz w:val="24"/>
              </w:rPr>
              <w:t>Deutscher 2019 [14]</w:t>
            </w:r>
          </w:p>
        </w:tc>
        <w:tc>
          <w:tcPr>
            <w:tcW w:w="4662" w:type="dxa"/>
          </w:tcPr>
          <w:p w14:paraId="44ABC996" w14:textId="77777777" w:rsidR="00BE015C" w:rsidRDefault="00BE015C" w:rsidP="009F214A">
            <w:pPr>
              <w:pStyle w:val="TableParagraph"/>
              <w:spacing w:before="65"/>
              <w:ind w:left="82"/>
              <w:rPr>
                <w:sz w:val="24"/>
              </w:rPr>
            </w:pPr>
            <w:r>
              <w:rPr>
                <w:sz w:val="24"/>
              </w:rPr>
              <w:t>Full text not available</w:t>
            </w:r>
          </w:p>
        </w:tc>
      </w:tr>
      <w:tr w:rsidR="00BE015C" w14:paraId="42263B00" w14:textId="77777777" w:rsidTr="009F214A">
        <w:trPr>
          <w:trHeight w:val="417"/>
        </w:trPr>
        <w:tc>
          <w:tcPr>
            <w:tcW w:w="691" w:type="dxa"/>
          </w:tcPr>
          <w:p w14:paraId="69E96C58" w14:textId="77777777" w:rsidR="00BE015C" w:rsidRDefault="00BE015C" w:rsidP="009F214A">
            <w:pPr>
              <w:pStyle w:val="TableParagraph"/>
              <w:spacing w:before="65"/>
              <w:ind w:left="64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834" w:type="dxa"/>
          </w:tcPr>
          <w:p w14:paraId="3AEE510C" w14:textId="77777777" w:rsidR="00BE015C" w:rsidRDefault="00BE015C" w:rsidP="009F214A">
            <w:pPr>
              <w:pStyle w:val="TableParagraph"/>
              <w:spacing w:before="65"/>
              <w:ind w:left="333"/>
              <w:rPr>
                <w:sz w:val="24"/>
              </w:rPr>
            </w:pPr>
            <w:r>
              <w:rPr>
                <w:sz w:val="24"/>
              </w:rPr>
              <w:t>Duygu 2017 [15]</w:t>
            </w:r>
          </w:p>
        </w:tc>
        <w:tc>
          <w:tcPr>
            <w:tcW w:w="4662" w:type="dxa"/>
          </w:tcPr>
          <w:p w14:paraId="63A81478" w14:textId="77777777" w:rsidR="00BE015C" w:rsidRDefault="00BE015C" w:rsidP="009F214A">
            <w:pPr>
              <w:pStyle w:val="TableParagraph"/>
              <w:spacing w:before="65"/>
              <w:ind w:left="82"/>
              <w:rPr>
                <w:sz w:val="24"/>
              </w:rPr>
            </w:pPr>
            <w:r>
              <w:rPr>
                <w:sz w:val="24"/>
              </w:rPr>
              <w:t>Full text not available</w:t>
            </w:r>
          </w:p>
        </w:tc>
      </w:tr>
      <w:tr w:rsidR="00BE015C" w14:paraId="5C83A0A1" w14:textId="77777777" w:rsidTr="009F214A">
        <w:trPr>
          <w:trHeight w:val="416"/>
        </w:trPr>
        <w:tc>
          <w:tcPr>
            <w:tcW w:w="691" w:type="dxa"/>
          </w:tcPr>
          <w:p w14:paraId="4FB24F0F" w14:textId="77777777" w:rsidR="00BE015C" w:rsidRDefault="00BE015C" w:rsidP="009F214A">
            <w:pPr>
              <w:pStyle w:val="TableParagraph"/>
              <w:spacing w:before="65"/>
              <w:ind w:left="64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834" w:type="dxa"/>
          </w:tcPr>
          <w:p w14:paraId="068FC70C" w14:textId="77777777" w:rsidR="00BE015C" w:rsidRDefault="00BE015C" w:rsidP="009F214A">
            <w:pPr>
              <w:pStyle w:val="TableParagraph"/>
              <w:spacing w:before="65"/>
              <w:ind w:left="333"/>
              <w:rPr>
                <w:sz w:val="24"/>
              </w:rPr>
            </w:pPr>
            <w:r>
              <w:rPr>
                <w:sz w:val="24"/>
              </w:rPr>
              <w:t>Franklin 2013 [16]</w:t>
            </w:r>
          </w:p>
        </w:tc>
        <w:tc>
          <w:tcPr>
            <w:tcW w:w="4662" w:type="dxa"/>
          </w:tcPr>
          <w:p w14:paraId="54D3CD9B" w14:textId="77777777" w:rsidR="00BE015C" w:rsidRDefault="00BE015C" w:rsidP="009F214A">
            <w:pPr>
              <w:pStyle w:val="TableParagraph"/>
              <w:spacing w:before="65"/>
              <w:ind w:left="82"/>
              <w:rPr>
                <w:sz w:val="24"/>
              </w:rPr>
            </w:pPr>
            <w:r>
              <w:rPr>
                <w:sz w:val="24"/>
              </w:rPr>
              <w:t>Not an SRQ-interview based</w:t>
            </w:r>
          </w:p>
        </w:tc>
      </w:tr>
      <w:tr w:rsidR="00BE015C" w14:paraId="189F90AA" w14:textId="77777777" w:rsidTr="009F214A">
        <w:trPr>
          <w:trHeight w:val="416"/>
        </w:trPr>
        <w:tc>
          <w:tcPr>
            <w:tcW w:w="691" w:type="dxa"/>
          </w:tcPr>
          <w:p w14:paraId="40B61ADA" w14:textId="77777777" w:rsidR="00BE015C" w:rsidRDefault="00BE015C" w:rsidP="009F214A">
            <w:pPr>
              <w:pStyle w:val="TableParagraph"/>
              <w:spacing w:before="64"/>
              <w:ind w:left="64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2834" w:type="dxa"/>
          </w:tcPr>
          <w:p w14:paraId="2530F949" w14:textId="77777777" w:rsidR="00BE015C" w:rsidRDefault="00BE015C" w:rsidP="009F214A">
            <w:pPr>
              <w:pStyle w:val="TableParagraph"/>
              <w:spacing w:before="64"/>
              <w:ind w:left="333"/>
              <w:rPr>
                <w:sz w:val="24"/>
              </w:rPr>
            </w:pPr>
            <w:r>
              <w:rPr>
                <w:sz w:val="24"/>
              </w:rPr>
              <w:t>Fu 2012 [17]</w:t>
            </w:r>
          </w:p>
        </w:tc>
        <w:tc>
          <w:tcPr>
            <w:tcW w:w="4662" w:type="dxa"/>
          </w:tcPr>
          <w:p w14:paraId="62D8220F" w14:textId="77777777" w:rsidR="00BE015C" w:rsidRDefault="00BE015C" w:rsidP="009F214A">
            <w:pPr>
              <w:pStyle w:val="TableParagraph"/>
              <w:spacing w:before="64"/>
              <w:ind w:left="82"/>
              <w:rPr>
                <w:sz w:val="24"/>
              </w:rPr>
            </w:pPr>
            <w:r>
              <w:rPr>
                <w:sz w:val="24"/>
              </w:rPr>
              <w:t>Full text not available</w:t>
            </w:r>
          </w:p>
        </w:tc>
      </w:tr>
      <w:tr w:rsidR="00BE015C" w14:paraId="066DFCC3" w14:textId="77777777" w:rsidTr="009F214A">
        <w:trPr>
          <w:trHeight w:val="417"/>
        </w:trPr>
        <w:tc>
          <w:tcPr>
            <w:tcW w:w="691" w:type="dxa"/>
          </w:tcPr>
          <w:p w14:paraId="3C7D7CDC" w14:textId="77777777" w:rsidR="00BE015C" w:rsidRDefault="00BE015C" w:rsidP="009F214A">
            <w:pPr>
              <w:pStyle w:val="TableParagraph"/>
              <w:spacing w:before="65"/>
              <w:ind w:left="64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834" w:type="dxa"/>
          </w:tcPr>
          <w:p w14:paraId="352BD91E" w14:textId="77777777" w:rsidR="00BE015C" w:rsidRDefault="00BE015C" w:rsidP="009F214A">
            <w:pPr>
              <w:pStyle w:val="TableParagraph"/>
              <w:spacing w:before="65"/>
              <w:ind w:left="333"/>
              <w:rPr>
                <w:sz w:val="24"/>
              </w:rPr>
            </w:pPr>
            <w:r>
              <w:rPr>
                <w:sz w:val="24"/>
              </w:rPr>
              <w:t>Fu 2015 [18]</w:t>
            </w:r>
          </w:p>
        </w:tc>
        <w:tc>
          <w:tcPr>
            <w:tcW w:w="4662" w:type="dxa"/>
          </w:tcPr>
          <w:p w14:paraId="6E351B87" w14:textId="77777777" w:rsidR="00BE015C" w:rsidRDefault="00BE015C" w:rsidP="009F214A">
            <w:pPr>
              <w:pStyle w:val="TableParagraph"/>
              <w:spacing w:before="65"/>
              <w:ind w:left="82"/>
              <w:rPr>
                <w:sz w:val="24"/>
              </w:rPr>
            </w:pPr>
            <w:r>
              <w:rPr>
                <w:sz w:val="24"/>
              </w:rPr>
              <w:t>Not the indented setting-screening tool</w:t>
            </w:r>
          </w:p>
        </w:tc>
      </w:tr>
      <w:tr w:rsidR="00BE015C" w14:paraId="3550617C" w14:textId="77777777" w:rsidTr="009F214A">
        <w:trPr>
          <w:trHeight w:val="673"/>
        </w:trPr>
        <w:tc>
          <w:tcPr>
            <w:tcW w:w="691" w:type="dxa"/>
          </w:tcPr>
          <w:p w14:paraId="44867BEA" w14:textId="77777777" w:rsidR="00BE015C" w:rsidRDefault="00BE015C" w:rsidP="009F214A">
            <w:pPr>
              <w:pStyle w:val="TableParagraph"/>
              <w:spacing w:before="65"/>
              <w:ind w:left="64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2834" w:type="dxa"/>
          </w:tcPr>
          <w:p w14:paraId="764C86E3" w14:textId="77777777" w:rsidR="00BE015C" w:rsidRDefault="00BE015C" w:rsidP="009F214A">
            <w:pPr>
              <w:pStyle w:val="TableParagraph"/>
              <w:spacing w:before="65"/>
              <w:ind w:left="333"/>
              <w:rPr>
                <w:sz w:val="24"/>
              </w:rPr>
            </w:pPr>
            <w:r>
              <w:rPr>
                <w:sz w:val="24"/>
              </w:rPr>
              <w:t>Gonzalez-Sanchez 2010</w:t>
            </w:r>
          </w:p>
          <w:p w14:paraId="70DFAC38" w14:textId="77777777" w:rsidR="00BE015C" w:rsidRDefault="00BE015C" w:rsidP="009F214A">
            <w:pPr>
              <w:pStyle w:val="TableParagraph"/>
              <w:ind w:left="333"/>
              <w:rPr>
                <w:sz w:val="24"/>
              </w:rPr>
            </w:pPr>
            <w:r>
              <w:rPr>
                <w:sz w:val="24"/>
              </w:rPr>
              <w:t>[19]</w:t>
            </w:r>
          </w:p>
        </w:tc>
        <w:tc>
          <w:tcPr>
            <w:tcW w:w="4662" w:type="dxa"/>
          </w:tcPr>
          <w:p w14:paraId="4FDEE6FD" w14:textId="77777777" w:rsidR="00BE015C" w:rsidRDefault="00BE015C" w:rsidP="009F214A">
            <w:pPr>
              <w:pStyle w:val="TableParagraph"/>
              <w:spacing w:before="65"/>
              <w:ind w:left="82"/>
              <w:rPr>
                <w:sz w:val="24"/>
              </w:rPr>
            </w:pPr>
            <w:r>
              <w:rPr>
                <w:sz w:val="24"/>
              </w:rPr>
              <w:t>Full text not available</w:t>
            </w:r>
          </w:p>
        </w:tc>
      </w:tr>
      <w:tr w:rsidR="00BE015C" w14:paraId="7FBBF7EF" w14:textId="77777777" w:rsidTr="009F214A">
        <w:trPr>
          <w:trHeight w:val="692"/>
        </w:trPr>
        <w:tc>
          <w:tcPr>
            <w:tcW w:w="691" w:type="dxa"/>
          </w:tcPr>
          <w:p w14:paraId="67B8A943" w14:textId="77777777" w:rsidR="00BE015C" w:rsidRDefault="00BE015C" w:rsidP="009F214A">
            <w:pPr>
              <w:pStyle w:val="TableParagraph"/>
              <w:spacing w:before="45"/>
              <w:ind w:left="64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2834" w:type="dxa"/>
          </w:tcPr>
          <w:p w14:paraId="324259AA" w14:textId="77777777" w:rsidR="00BE015C" w:rsidRDefault="00BE015C" w:rsidP="009F214A">
            <w:pPr>
              <w:pStyle w:val="TableParagraph"/>
              <w:spacing w:before="45"/>
              <w:ind w:left="333"/>
              <w:rPr>
                <w:sz w:val="24"/>
              </w:rPr>
            </w:pPr>
            <w:r>
              <w:rPr>
                <w:sz w:val="24"/>
              </w:rPr>
              <w:t>Henok 2008 [20]</w:t>
            </w:r>
          </w:p>
        </w:tc>
        <w:tc>
          <w:tcPr>
            <w:tcW w:w="4662" w:type="dxa"/>
          </w:tcPr>
          <w:p w14:paraId="36769EEF" w14:textId="77777777" w:rsidR="00BE015C" w:rsidRDefault="00BE015C" w:rsidP="009F214A">
            <w:pPr>
              <w:pStyle w:val="TableParagraph"/>
              <w:spacing w:before="45"/>
              <w:ind w:left="82" w:right="274"/>
              <w:rPr>
                <w:sz w:val="24"/>
              </w:rPr>
            </w:pPr>
            <w:r>
              <w:rPr>
                <w:sz w:val="24"/>
              </w:rPr>
              <w:t>Not exclusively lymphoedema-specific SRQ (Podocinids)</w:t>
            </w:r>
          </w:p>
        </w:tc>
      </w:tr>
      <w:tr w:rsidR="00BE015C" w14:paraId="627CAFB7" w14:textId="77777777" w:rsidTr="009F214A">
        <w:trPr>
          <w:trHeight w:val="693"/>
        </w:trPr>
        <w:tc>
          <w:tcPr>
            <w:tcW w:w="691" w:type="dxa"/>
          </w:tcPr>
          <w:p w14:paraId="6923861B" w14:textId="77777777" w:rsidR="00BE015C" w:rsidRDefault="00BE015C" w:rsidP="009F214A">
            <w:pPr>
              <w:pStyle w:val="TableParagraph"/>
              <w:spacing w:before="85"/>
              <w:ind w:left="64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2834" w:type="dxa"/>
          </w:tcPr>
          <w:p w14:paraId="12DCA46F" w14:textId="77777777" w:rsidR="00BE015C" w:rsidRDefault="00BE015C" w:rsidP="009F214A">
            <w:pPr>
              <w:pStyle w:val="TableParagraph"/>
              <w:spacing w:before="85"/>
              <w:ind w:left="333"/>
              <w:rPr>
                <w:sz w:val="24"/>
              </w:rPr>
            </w:pPr>
            <w:r>
              <w:rPr>
                <w:sz w:val="24"/>
              </w:rPr>
              <w:t>Hollyhead 2020 [21]</w:t>
            </w:r>
          </w:p>
        </w:tc>
        <w:tc>
          <w:tcPr>
            <w:tcW w:w="4662" w:type="dxa"/>
          </w:tcPr>
          <w:p w14:paraId="359CFC02" w14:textId="77777777" w:rsidR="00BE015C" w:rsidRDefault="00BE015C" w:rsidP="009F214A">
            <w:pPr>
              <w:pStyle w:val="TableParagraph"/>
              <w:spacing w:before="85"/>
              <w:ind w:left="82" w:right="274"/>
              <w:rPr>
                <w:sz w:val="24"/>
              </w:rPr>
            </w:pPr>
            <w:r>
              <w:rPr>
                <w:sz w:val="24"/>
              </w:rPr>
              <w:t>Not exclusively lymphoedema-specific SRQ (Body image)</w:t>
            </w:r>
          </w:p>
        </w:tc>
      </w:tr>
      <w:tr w:rsidR="00BE015C" w14:paraId="6ABA760D" w14:textId="77777777" w:rsidTr="009F214A">
        <w:trPr>
          <w:trHeight w:val="398"/>
        </w:trPr>
        <w:tc>
          <w:tcPr>
            <w:tcW w:w="691" w:type="dxa"/>
          </w:tcPr>
          <w:p w14:paraId="646DFB43" w14:textId="77777777" w:rsidR="00BE015C" w:rsidRDefault="00BE015C" w:rsidP="009F214A">
            <w:pPr>
              <w:pStyle w:val="TableParagraph"/>
              <w:spacing w:before="46"/>
              <w:ind w:left="64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2834" w:type="dxa"/>
          </w:tcPr>
          <w:p w14:paraId="6A4D15E0" w14:textId="77777777" w:rsidR="00BE015C" w:rsidRDefault="00BE015C" w:rsidP="009F214A">
            <w:pPr>
              <w:pStyle w:val="TableParagraph"/>
              <w:spacing w:before="46"/>
              <w:ind w:left="333"/>
              <w:rPr>
                <w:sz w:val="24"/>
              </w:rPr>
            </w:pPr>
            <w:r>
              <w:rPr>
                <w:sz w:val="24"/>
              </w:rPr>
              <w:t>Hu 2012 [22]</w:t>
            </w:r>
          </w:p>
        </w:tc>
        <w:tc>
          <w:tcPr>
            <w:tcW w:w="4662" w:type="dxa"/>
          </w:tcPr>
          <w:p w14:paraId="2A4D18BB" w14:textId="77777777" w:rsidR="00BE015C" w:rsidRDefault="00BE015C" w:rsidP="009F214A">
            <w:pPr>
              <w:pStyle w:val="TableParagraph"/>
              <w:spacing w:before="46"/>
              <w:ind w:left="82"/>
              <w:rPr>
                <w:sz w:val="24"/>
              </w:rPr>
            </w:pPr>
            <w:r>
              <w:rPr>
                <w:sz w:val="24"/>
              </w:rPr>
              <w:t>Full text not available</w:t>
            </w:r>
          </w:p>
        </w:tc>
      </w:tr>
      <w:tr w:rsidR="00BE015C" w14:paraId="1AC04D4D" w14:textId="77777777" w:rsidTr="009F214A">
        <w:trPr>
          <w:trHeight w:val="673"/>
        </w:trPr>
        <w:tc>
          <w:tcPr>
            <w:tcW w:w="691" w:type="dxa"/>
          </w:tcPr>
          <w:p w14:paraId="0E4FD2CD" w14:textId="77777777" w:rsidR="00BE015C" w:rsidRDefault="00BE015C" w:rsidP="009F214A">
            <w:pPr>
              <w:pStyle w:val="TableParagraph"/>
              <w:spacing w:before="65"/>
              <w:ind w:left="64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2834" w:type="dxa"/>
          </w:tcPr>
          <w:p w14:paraId="2756C28A" w14:textId="77777777" w:rsidR="00BE015C" w:rsidRDefault="00BE015C" w:rsidP="009F214A">
            <w:pPr>
              <w:pStyle w:val="TableParagraph"/>
              <w:spacing w:before="65"/>
              <w:ind w:left="333"/>
              <w:rPr>
                <w:sz w:val="24"/>
              </w:rPr>
            </w:pPr>
            <w:r>
              <w:rPr>
                <w:sz w:val="24"/>
              </w:rPr>
              <w:t>Jackson 2016 [23]</w:t>
            </w:r>
          </w:p>
        </w:tc>
        <w:tc>
          <w:tcPr>
            <w:tcW w:w="4662" w:type="dxa"/>
          </w:tcPr>
          <w:p w14:paraId="4671E739" w14:textId="77777777" w:rsidR="00BE015C" w:rsidRDefault="00BE015C" w:rsidP="009F214A">
            <w:pPr>
              <w:pStyle w:val="TableParagraph"/>
              <w:spacing w:before="65"/>
              <w:ind w:left="82" w:right="274"/>
              <w:rPr>
                <w:sz w:val="24"/>
              </w:rPr>
            </w:pPr>
            <w:r>
              <w:rPr>
                <w:sz w:val="24"/>
              </w:rPr>
              <w:t>Not exclusively lymphoedema-specific SRQ (head and neck symptom)</w:t>
            </w:r>
          </w:p>
        </w:tc>
      </w:tr>
      <w:tr w:rsidR="00BE015C" w14:paraId="67FD5713" w14:textId="77777777" w:rsidTr="009F214A">
        <w:trPr>
          <w:trHeight w:val="397"/>
        </w:trPr>
        <w:tc>
          <w:tcPr>
            <w:tcW w:w="691" w:type="dxa"/>
          </w:tcPr>
          <w:p w14:paraId="5E624369" w14:textId="77777777" w:rsidR="00BE015C" w:rsidRDefault="00BE015C" w:rsidP="009F214A">
            <w:pPr>
              <w:pStyle w:val="TableParagraph"/>
              <w:spacing w:before="45"/>
              <w:ind w:left="64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2834" w:type="dxa"/>
          </w:tcPr>
          <w:p w14:paraId="7AC0F513" w14:textId="77777777" w:rsidR="00BE015C" w:rsidRDefault="00BE015C" w:rsidP="009F214A">
            <w:pPr>
              <w:pStyle w:val="TableParagraph"/>
              <w:spacing w:before="45"/>
              <w:ind w:left="333"/>
              <w:rPr>
                <w:sz w:val="24"/>
              </w:rPr>
            </w:pPr>
            <w:r>
              <w:rPr>
                <w:sz w:val="24"/>
              </w:rPr>
              <w:t>Keeley 2004 [24]</w:t>
            </w:r>
          </w:p>
        </w:tc>
        <w:tc>
          <w:tcPr>
            <w:tcW w:w="4662" w:type="dxa"/>
          </w:tcPr>
          <w:p w14:paraId="5786C340" w14:textId="77777777" w:rsidR="00BE015C" w:rsidRDefault="00BE015C" w:rsidP="009F214A">
            <w:pPr>
              <w:pStyle w:val="TableParagraph"/>
              <w:spacing w:before="45"/>
              <w:ind w:left="82"/>
              <w:rPr>
                <w:sz w:val="24"/>
              </w:rPr>
            </w:pPr>
            <w:r>
              <w:rPr>
                <w:sz w:val="24"/>
              </w:rPr>
              <w:t>Full text not available</w:t>
            </w:r>
          </w:p>
        </w:tc>
      </w:tr>
      <w:tr w:rsidR="00BE015C" w14:paraId="52288C25" w14:textId="77777777" w:rsidTr="009F214A">
        <w:trPr>
          <w:trHeight w:val="433"/>
        </w:trPr>
        <w:tc>
          <w:tcPr>
            <w:tcW w:w="691" w:type="dxa"/>
            <w:tcBorders>
              <w:bottom w:val="single" w:sz="4" w:space="0" w:color="000000"/>
            </w:tcBorders>
          </w:tcPr>
          <w:p w14:paraId="7D025229" w14:textId="77777777" w:rsidR="00BE015C" w:rsidRDefault="00BE015C" w:rsidP="009F214A">
            <w:pPr>
              <w:pStyle w:val="TableParagraph"/>
              <w:spacing w:before="65"/>
              <w:ind w:left="64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2834" w:type="dxa"/>
            <w:tcBorders>
              <w:bottom w:val="single" w:sz="4" w:space="0" w:color="000000"/>
            </w:tcBorders>
          </w:tcPr>
          <w:p w14:paraId="5D16DC10" w14:textId="77777777" w:rsidR="00BE015C" w:rsidRDefault="00BE015C" w:rsidP="009F214A">
            <w:pPr>
              <w:pStyle w:val="TableParagraph"/>
              <w:spacing w:before="65"/>
              <w:ind w:left="333"/>
              <w:rPr>
                <w:sz w:val="24"/>
              </w:rPr>
            </w:pPr>
            <w:r>
              <w:rPr>
                <w:sz w:val="24"/>
              </w:rPr>
              <w:t>Kim 2017 [25]</w:t>
            </w:r>
          </w:p>
        </w:tc>
        <w:tc>
          <w:tcPr>
            <w:tcW w:w="4662" w:type="dxa"/>
            <w:tcBorders>
              <w:bottom w:val="single" w:sz="4" w:space="0" w:color="000000"/>
            </w:tcBorders>
          </w:tcPr>
          <w:p w14:paraId="510544AD" w14:textId="77777777" w:rsidR="00BE015C" w:rsidRDefault="00BE015C" w:rsidP="009F214A">
            <w:pPr>
              <w:pStyle w:val="TableParagraph"/>
              <w:spacing w:before="65"/>
              <w:ind w:left="82"/>
              <w:rPr>
                <w:sz w:val="24"/>
              </w:rPr>
            </w:pPr>
            <w:r>
              <w:rPr>
                <w:sz w:val="24"/>
              </w:rPr>
              <w:t>Not the indented setting-screening tool</w:t>
            </w:r>
          </w:p>
        </w:tc>
      </w:tr>
    </w:tbl>
    <w:p w14:paraId="78954579" w14:textId="77777777" w:rsidR="00BE015C" w:rsidRDefault="00BE015C" w:rsidP="00BE015C">
      <w:pPr>
        <w:rPr>
          <w:sz w:val="24"/>
        </w:rPr>
        <w:sectPr w:rsidR="00BE015C">
          <w:headerReference w:type="default" r:id="rId11"/>
          <w:footerReference w:type="default" r:id="rId12"/>
          <w:pgSz w:w="11910" w:h="16840"/>
          <w:pgMar w:top="1340" w:right="1320" w:bottom="1760" w:left="1320" w:header="0" w:footer="1563" w:gutter="0"/>
          <w:cols w:space="720"/>
        </w:sectPr>
      </w:pPr>
    </w:p>
    <w:tbl>
      <w:tblPr>
        <w:tblW w:w="0" w:type="auto"/>
        <w:tblInd w:w="38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1"/>
        <w:gridCol w:w="2725"/>
        <w:gridCol w:w="4771"/>
      </w:tblGrid>
      <w:tr w:rsidR="00BE015C" w14:paraId="7C2E8312" w14:textId="77777777" w:rsidTr="009F214A">
        <w:trPr>
          <w:trHeight w:val="417"/>
        </w:trPr>
        <w:tc>
          <w:tcPr>
            <w:tcW w:w="691" w:type="dxa"/>
            <w:tcBorders>
              <w:top w:val="single" w:sz="4" w:space="0" w:color="000000"/>
              <w:bottom w:val="single" w:sz="4" w:space="0" w:color="000000"/>
            </w:tcBorders>
          </w:tcPr>
          <w:p w14:paraId="11973197" w14:textId="77777777" w:rsidR="00BE015C" w:rsidRDefault="00BE015C" w:rsidP="009F214A">
            <w:pPr>
              <w:pStyle w:val="TableParagraph"/>
              <w:spacing w:before="49"/>
              <w:ind w:left="64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No</w:t>
            </w:r>
          </w:p>
        </w:tc>
        <w:tc>
          <w:tcPr>
            <w:tcW w:w="2725" w:type="dxa"/>
            <w:tcBorders>
              <w:top w:val="single" w:sz="4" w:space="0" w:color="000000"/>
              <w:bottom w:val="single" w:sz="4" w:space="0" w:color="000000"/>
            </w:tcBorders>
          </w:tcPr>
          <w:p w14:paraId="7056206E" w14:textId="77777777" w:rsidR="00BE015C" w:rsidRDefault="00BE015C" w:rsidP="009F214A">
            <w:pPr>
              <w:pStyle w:val="TableParagraph"/>
              <w:spacing w:before="49"/>
              <w:ind w:left="333"/>
              <w:rPr>
                <w:b/>
                <w:sz w:val="24"/>
              </w:rPr>
            </w:pPr>
            <w:r>
              <w:rPr>
                <w:b/>
                <w:sz w:val="24"/>
              </w:rPr>
              <w:t>Studies excluded</w:t>
            </w:r>
          </w:p>
        </w:tc>
        <w:tc>
          <w:tcPr>
            <w:tcW w:w="4771" w:type="dxa"/>
            <w:tcBorders>
              <w:top w:val="single" w:sz="4" w:space="0" w:color="000000"/>
              <w:bottom w:val="single" w:sz="4" w:space="0" w:color="000000"/>
            </w:tcBorders>
          </w:tcPr>
          <w:p w14:paraId="33270D1B" w14:textId="77777777" w:rsidR="00BE015C" w:rsidRDefault="00BE015C" w:rsidP="009F214A">
            <w:pPr>
              <w:pStyle w:val="TableParagraph"/>
              <w:spacing w:before="49"/>
              <w:ind w:left="191"/>
              <w:rPr>
                <w:b/>
                <w:sz w:val="24"/>
              </w:rPr>
            </w:pPr>
            <w:r>
              <w:rPr>
                <w:b/>
                <w:sz w:val="24"/>
              </w:rPr>
              <w:t>Reason for exclusion</w:t>
            </w:r>
          </w:p>
        </w:tc>
      </w:tr>
      <w:tr w:rsidR="00BE015C" w14:paraId="514FDA36" w14:textId="77777777" w:rsidTr="009F214A">
        <w:trPr>
          <w:trHeight w:val="401"/>
        </w:trPr>
        <w:tc>
          <w:tcPr>
            <w:tcW w:w="691" w:type="dxa"/>
            <w:tcBorders>
              <w:top w:val="single" w:sz="4" w:space="0" w:color="000000"/>
            </w:tcBorders>
          </w:tcPr>
          <w:p w14:paraId="1F674792" w14:textId="77777777" w:rsidR="00BE015C" w:rsidRDefault="00BE015C" w:rsidP="009F214A">
            <w:pPr>
              <w:pStyle w:val="TableParagraph"/>
              <w:spacing w:before="49"/>
              <w:ind w:left="64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2725" w:type="dxa"/>
            <w:tcBorders>
              <w:top w:val="single" w:sz="4" w:space="0" w:color="000000"/>
            </w:tcBorders>
          </w:tcPr>
          <w:p w14:paraId="58317398" w14:textId="77777777" w:rsidR="00BE015C" w:rsidRDefault="00BE015C" w:rsidP="009F214A">
            <w:pPr>
              <w:pStyle w:val="TableParagraph"/>
              <w:spacing w:before="49"/>
              <w:ind w:left="333"/>
              <w:rPr>
                <w:sz w:val="24"/>
              </w:rPr>
            </w:pPr>
            <w:r>
              <w:rPr>
                <w:sz w:val="24"/>
              </w:rPr>
              <w:t>Lim 2014 [26]</w:t>
            </w:r>
          </w:p>
        </w:tc>
        <w:tc>
          <w:tcPr>
            <w:tcW w:w="4771" w:type="dxa"/>
            <w:tcBorders>
              <w:top w:val="single" w:sz="4" w:space="0" w:color="000000"/>
            </w:tcBorders>
          </w:tcPr>
          <w:p w14:paraId="7C2C79F6" w14:textId="77777777" w:rsidR="00BE015C" w:rsidRDefault="00BE015C" w:rsidP="009F214A">
            <w:pPr>
              <w:pStyle w:val="TableParagraph"/>
              <w:spacing w:before="49"/>
              <w:ind w:left="191"/>
              <w:rPr>
                <w:sz w:val="24"/>
              </w:rPr>
            </w:pPr>
            <w:r>
              <w:rPr>
                <w:sz w:val="24"/>
              </w:rPr>
              <w:t>Not the indented setting-screening tool</w:t>
            </w:r>
          </w:p>
        </w:tc>
      </w:tr>
      <w:tr w:rsidR="00BE015C" w14:paraId="12DA15BD" w14:textId="77777777" w:rsidTr="009F214A">
        <w:trPr>
          <w:trHeight w:val="417"/>
        </w:trPr>
        <w:tc>
          <w:tcPr>
            <w:tcW w:w="691" w:type="dxa"/>
          </w:tcPr>
          <w:p w14:paraId="7F732F97" w14:textId="77777777" w:rsidR="00BE015C" w:rsidRDefault="00BE015C" w:rsidP="009F214A">
            <w:pPr>
              <w:pStyle w:val="TableParagraph"/>
              <w:spacing w:before="65"/>
              <w:ind w:left="64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2725" w:type="dxa"/>
          </w:tcPr>
          <w:p w14:paraId="00F5BC3B" w14:textId="77777777" w:rsidR="00BE015C" w:rsidRDefault="00BE015C" w:rsidP="009F214A">
            <w:pPr>
              <w:pStyle w:val="TableParagraph"/>
              <w:spacing w:before="65"/>
              <w:ind w:left="333"/>
              <w:rPr>
                <w:sz w:val="24"/>
              </w:rPr>
            </w:pPr>
            <w:r>
              <w:rPr>
                <w:sz w:val="24"/>
              </w:rPr>
              <w:t>Marques 2019 [27]</w:t>
            </w:r>
          </w:p>
        </w:tc>
        <w:tc>
          <w:tcPr>
            <w:tcW w:w="4771" w:type="dxa"/>
          </w:tcPr>
          <w:p w14:paraId="6E42C706" w14:textId="77777777" w:rsidR="00BE015C" w:rsidRDefault="00BE015C" w:rsidP="009F214A">
            <w:pPr>
              <w:pStyle w:val="TableParagraph"/>
              <w:spacing w:before="65"/>
              <w:ind w:left="191"/>
              <w:rPr>
                <w:sz w:val="24"/>
              </w:rPr>
            </w:pPr>
            <w:r>
              <w:rPr>
                <w:sz w:val="24"/>
              </w:rPr>
              <w:t>Not lymphoedema-specific</w:t>
            </w:r>
          </w:p>
        </w:tc>
      </w:tr>
      <w:tr w:rsidR="00BE015C" w14:paraId="49A6DDC6" w14:textId="77777777" w:rsidTr="009F214A">
        <w:trPr>
          <w:trHeight w:val="416"/>
        </w:trPr>
        <w:tc>
          <w:tcPr>
            <w:tcW w:w="691" w:type="dxa"/>
          </w:tcPr>
          <w:p w14:paraId="5380A988" w14:textId="77777777" w:rsidR="00BE015C" w:rsidRDefault="00BE015C" w:rsidP="009F214A">
            <w:pPr>
              <w:pStyle w:val="TableParagraph"/>
              <w:spacing w:before="65"/>
              <w:ind w:left="64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2725" w:type="dxa"/>
          </w:tcPr>
          <w:p w14:paraId="09F4B740" w14:textId="77777777" w:rsidR="00BE015C" w:rsidRDefault="00BE015C" w:rsidP="009F214A">
            <w:pPr>
              <w:pStyle w:val="TableParagraph"/>
              <w:spacing w:before="65"/>
              <w:ind w:left="333"/>
              <w:rPr>
                <w:sz w:val="24"/>
              </w:rPr>
            </w:pPr>
            <w:r>
              <w:rPr>
                <w:sz w:val="24"/>
              </w:rPr>
              <w:t>Mayrovitz 2014 [28]</w:t>
            </w:r>
          </w:p>
        </w:tc>
        <w:tc>
          <w:tcPr>
            <w:tcW w:w="4771" w:type="dxa"/>
          </w:tcPr>
          <w:p w14:paraId="0C26DADC" w14:textId="77777777" w:rsidR="00BE015C" w:rsidRDefault="00BE015C" w:rsidP="009F214A">
            <w:pPr>
              <w:pStyle w:val="TableParagraph"/>
              <w:spacing w:before="65"/>
              <w:ind w:left="191"/>
              <w:rPr>
                <w:sz w:val="24"/>
              </w:rPr>
            </w:pPr>
            <w:r>
              <w:rPr>
                <w:sz w:val="24"/>
              </w:rPr>
              <w:t>Not a validation study (SRQ used)</w:t>
            </w:r>
          </w:p>
        </w:tc>
      </w:tr>
      <w:tr w:rsidR="00BE015C" w14:paraId="75874DD0" w14:textId="77777777" w:rsidTr="009F214A">
        <w:trPr>
          <w:trHeight w:val="416"/>
        </w:trPr>
        <w:tc>
          <w:tcPr>
            <w:tcW w:w="691" w:type="dxa"/>
          </w:tcPr>
          <w:p w14:paraId="2196C315" w14:textId="77777777" w:rsidR="00BE015C" w:rsidRDefault="00BE015C" w:rsidP="009F214A">
            <w:pPr>
              <w:pStyle w:val="TableParagraph"/>
              <w:spacing w:before="64"/>
              <w:ind w:left="64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2725" w:type="dxa"/>
          </w:tcPr>
          <w:p w14:paraId="2FC6C16A" w14:textId="77777777" w:rsidR="00BE015C" w:rsidRDefault="00BE015C" w:rsidP="009F214A">
            <w:pPr>
              <w:pStyle w:val="TableParagraph"/>
              <w:spacing w:before="64"/>
              <w:ind w:left="333"/>
              <w:rPr>
                <w:sz w:val="24"/>
              </w:rPr>
            </w:pPr>
            <w:r>
              <w:rPr>
                <w:sz w:val="24"/>
              </w:rPr>
              <w:t>Morris 2017 [29]</w:t>
            </w:r>
          </w:p>
        </w:tc>
        <w:tc>
          <w:tcPr>
            <w:tcW w:w="4771" w:type="dxa"/>
          </w:tcPr>
          <w:p w14:paraId="76F6CF9A" w14:textId="77777777" w:rsidR="00BE015C" w:rsidRDefault="00BE015C" w:rsidP="009F214A">
            <w:pPr>
              <w:pStyle w:val="TableParagraph"/>
              <w:spacing w:before="64"/>
              <w:ind w:left="191"/>
              <w:rPr>
                <w:sz w:val="24"/>
              </w:rPr>
            </w:pPr>
            <w:r>
              <w:rPr>
                <w:sz w:val="24"/>
              </w:rPr>
              <w:t>Not an SRQ-Self-examination</w:t>
            </w:r>
          </w:p>
        </w:tc>
      </w:tr>
      <w:tr w:rsidR="00BE015C" w14:paraId="4556F874" w14:textId="77777777" w:rsidTr="009F214A">
        <w:trPr>
          <w:trHeight w:val="674"/>
        </w:trPr>
        <w:tc>
          <w:tcPr>
            <w:tcW w:w="691" w:type="dxa"/>
          </w:tcPr>
          <w:p w14:paraId="62C122F7" w14:textId="77777777" w:rsidR="00BE015C" w:rsidRDefault="00BE015C" w:rsidP="009F214A">
            <w:pPr>
              <w:pStyle w:val="TableParagraph"/>
              <w:spacing w:before="65"/>
              <w:ind w:left="64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2725" w:type="dxa"/>
          </w:tcPr>
          <w:p w14:paraId="2667480E" w14:textId="77777777" w:rsidR="00BE015C" w:rsidRDefault="00BE015C" w:rsidP="009F214A">
            <w:pPr>
              <w:pStyle w:val="TableParagraph"/>
              <w:spacing w:before="65"/>
              <w:ind w:left="333"/>
              <w:rPr>
                <w:sz w:val="24"/>
              </w:rPr>
            </w:pPr>
            <w:r>
              <w:rPr>
                <w:sz w:val="24"/>
              </w:rPr>
              <w:t>Nesvold 2009 [30]</w:t>
            </w:r>
          </w:p>
        </w:tc>
        <w:tc>
          <w:tcPr>
            <w:tcW w:w="4771" w:type="dxa"/>
          </w:tcPr>
          <w:p w14:paraId="63441142" w14:textId="77777777" w:rsidR="00BE015C" w:rsidRDefault="00BE015C" w:rsidP="009F214A">
            <w:pPr>
              <w:pStyle w:val="TableParagraph"/>
              <w:spacing w:before="65"/>
              <w:ind w:left="191" w:right="274"/>
              <w:rPr>
                <w:sz w:val="24"/>
              </w:rPr>
            </w:pPr>
            <w:r>
              <w:rPr>
                <w:sz w:val="24"/>
              </w:rPr>
              <w:t>Not exclusively lymphoedema-specific SRQ (Arm problem of scale)</w:t>
            </w:r>
          </w:p>
        </w:tc>
      </w:tr>
      <w:tr w:rsidR="00BE015C" w14:paraId="45BD377C" w14:textId="77777777" w:rsidTr="009F214A">
        <w:trPr>
          <w:trHeight w:val="397"/>
        </w:trPr>
        <w:tc>
          <w:tcPr>
            <w:tcW w:w="691" w:type="dxa"/>
          </w:tcPr>
          <w:p w14:paraId="34864E10" w14:textId="77777777" w:rsidR="00BE015C" w:rsidRDefault="00BE015C" w:rsidP="009F214A">
            <w:pPr>
              <w:pStyle w:val="TableParagraph"/>
              <w:spacing w:before="46"/>
              <w:ind w:left="64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2725" w:type="dxa"/>
          </w:tcPr>
          <w:p w14:paraId="1F6D8013" w14:textId="77777777" w:rsidR="00BE015C" w:rsidRDefault="00BE015C" w:rsidP="009F214A">
            <w:pPr>
              <w:pStyle w:val="TableParagraph"/>
              <w:spacing w:before="46"/>
              <w:ind w:left="333"/>
              <w:rPr>
                <w:sz w:val="24"/>
              </w:rPr>
            </w:pPr>
            <w:r>
              <w:rPr>
                <w:sz w:val="24"/>
              </w:rPr>
              <w:t>Netto 2016 [31]</w:t>
            </w:r>
          </w:p>
        </w:tc>
        <w:tc>
          <w:tcPr>
            <w:tcW w:w="4771" w:type="dxa"/>
          </w:tcPr>
          <w:p w14:paraId="46D71E96" w14:textId="77777777" w:rsidR="00BE015C" w:rsidRDefault="00BE015C" w:rsidP="009F214A">
            <w:pPr>
              <w:pStyle w:val="TableParagraph"/>
              <w:spacing w:before="46"/>
              <w:ind w:left="191"/>
              <w:rPr>
                <w:sz w:val="24"/>
              </w:rPr>
            </w:pPr>
            <w:r>
              <w:rPr>
                <w:sz w:val="24"/>
              </w:rPr>
              <w:t>Not an SRQ</w:t>
            </w:r>
          </w:p>
        </w:tc>
      </w:tr>
      <w:tr w:rsidR="00BE015C" w14:paraId="23892913" w14:textId="77777777" w:rsidTr="009F214A">
        <w:trPr>
          <w:trHeight w:val="416"/>
        </w:trPr>
        <w:tc>
          <w:tcPr>
            <w:tcW w:w="691" w:type="dxa"/>
          </w:tcPr>
          <w:p w14:paraId="07066578" w14:textId="77777777" w:rsidR="00BE015C" w:rsidRDefault="00BE015C" w:rsidP="009F214A">
            <w:pPr>
              <w:pStyle w:val="TableParagraph"/>
              <w:spacing w:before="64"/>
              <w:ind w:left="64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2725" w:type="dxa"/>
          </w:tcPr>
          <w:p w14:paraId="1B6F62C5" w14:textId="77777777" w:rsidR="00BE015C" w:rsidRDefault="00BE015C" w:rsidP="009F214A">
            <w:pPr>
              <w:pStyle w:val="TableParagraph"/>
              <w:spacing w:before="64"/>
              <w:ind w:left="333"/>
              <w:rPr>
                <w:sz w:val="24"/>
              </w:rPr>
            </w:pPr>
            <w:r>
              <w:rPr>
                <w:sz w:val="24"/>
              </w:rPr>
              <w:t>Nixon 2014 [32]</w:t>
            </w:r>
          </w:p>
        </w:tc>
        <w:tc>
          <w:tcPr>
            <w:tcW w:w="4771" w:type="dxa"/>
          </w:tcPr>
          <w:p w14:paraId="1B2CDF8F" w14:textId="77777777" w:rsidR="00BE015C" w:rsidRDefault="00BE015C" w:rsidP="009F214A">
            <w:pPr>
              <w:pStyle w:val="TableParagraph"/>
              <w:spacing w:before="64"/>
              <w:ind w:left="191"/>
              <w:rPr>
                <w:sz w:val="24"/>
              </w:rPr>
            </w:pPr>
            <w:r>
              <w:rPr>
                <w:sz w:val="24"/>
              </w:rPr>
              <w:t>Not an SRQ-Clinical tool</w:t>
            </w:r>
          </w:p>
        </w:tc>
      </w:tr>
      <w:tr w:rsidR="00BE015C" w14:paraId="68070FB6" w14:textId="77777777" w:rsidTr="009F214A">
        <w:trPr>
          <w:trHeight w:val="417"/>
        </w:trPr>
        <w:tc>
          <w:tcPr>
            <w:tcW w:w="691" w:type="dxa"/>
          </w:tcPr>
          <w:p w14:paraId="5FF97340" w14:textId="77777777" w:rsidR="00BE015C" w:rsidRDefault="00BE015C" w:rsidP="009F214A">
            <w:pPr>
              <w:pStyle w:val="TableParagraph"/>
              <w:spacing w:before="65"/>
              <w:ind w:left="64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2725" w:type="dxa"/>
          </w:tcPr>
          <w:p w14:paraId="7FC744AC" w14:textId="77777777" w:rsidR="00BE015C" w:rsidRDefault="00BE015C" w:rsidP="009F214A">
            <w:pPr>
              <w:pStyle w:val="TableParagraph"/>
              <w:spacing w:before="65"/>
              <w:ind w:left="333"/>
              <w:rPr>
                <w:sz w:val="24"/>
              </w:rPr>
            </w:pPr>
            <w:r>
              <w:rPr>
                <w:sz w:val="24"/>
              </w:rPr>
              <w:t>Noble-Jones 2014 [33]</w:t>
            </w:r>
          </w:p>
        </w:tc>
        <w:tc>
          <w:tcPr>
            <w:tcW w:w="4771" w:type="dxa"/>
          </w:tcPr>
          <w:p w14:paraId="1AA2864E" w14:textId="77777777" w:rsidR="00BE015C" w:rsidRDefault="00BE015C" w:rsidP="009F214A">
            <w:pPr>
              <w:pStyle w:val="TableParagraph"/>
              <w:spacing w:before="65"/>
              <w:ind w:left="191"/>
              <w:rPr>
                <w:sz w:val="24"/>
              </w:rPr>
            </w:pPr>
            <w:r>
              <w:rPr>
                <w:sz w:val="24"/>
              </w:rPr>
              <w:t>Not the indented setting-screening tool</w:t>
            </w:r>
          </w:p>
        </w:tc>
      </w:tr>
      <w:tr w:rsidR="00BE015C" w14:paraId="4EAFDB0C" w14:textId="77777777" w:rsidTr="009F214A">
        <w:trPr>
          <w:trHeight w:val="417"/>
        </w:trPr>
        <w:tc>
          <w:tcPr>
            <w:tcW w:w="691" w:type="dxa"/>
          </w:tcPr>
          <w:p w14:paraId="71F2ADDA" w14:textId="77777777" w:rsidR="00BE015C" w:rsidRDefault="00BE015C" w:rsidP="009F214A">
            <w:pPr>
              <w:pStyle w:val="TableParagraph"/>
              <w:spacing w:before="65"/>
              <w:ind w:left="64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2725" w:type="dxa"/>
          </w:tcPr>
          <w:p w14:paraId="06048440" w14:textId="77777777" w:rsidR="00BE015C" w:rsidRDefault="00BE015C" w:rsidP="009F214A">
            <w:pPr>
              <w:pStyle w:val="TableParagraph"/>
              <w:spacing w:before="65"/>
              <w:ind w:left="333"/>
              <w:rPr>
                <w:sz w:val="24"/>
              </w:rPr>
            </w:pPr>
            <w:r>
              <w:rPr>
                <w:sz w:val="24"/>
              </w:rPr>
              <w:t>Noble-Jones 2019 [34]</w:t>
            </w:r>
          </w:p>
        </w:tc>
        <w:tc>
          <w:tcPr>
            <w:tcW w:w="4771" w:type="dxa"/>
          </w:tcPr>
          <w:p w14:paraId="76524F0F" w14:textId="77777777" w:rsidR="00BE015C" w:rsidRDefault="00BE015C" w:rsidP="009F214A">
            <w:pPr>
              <w:pStyle w:val="TableParagraph"/>
              <w:spacing w:before="65"/>
              <w:ind w:left="191"/>
              <w:rPr>
                <w:sz w:val="24"/>
              </w:rPr>
            </w:pPr>
            <w:r>
              <w:rPr>
                <w:sz w:val="24"/>
              </w:rPr>
              <w:t>Not the indented setting-screening tool</w:t>
            </w:r>
          </w:p>
        </w:tc>
      </w:tr>
      <w:tr w:rsidR="00BE015C" w14:paraId="511198CE" w14:textId="77777777" w:rsidTr="009F214A">
        <w:trPr>
          <w:trHeight w:val="416"/>
        </w:trPr>
        <w:tc>
          <w:tcPr>
            <w:tcW w:w="691" w:type="dxa"/>
          </w:tcPr>
          <w:p w14:paraId="4B734B14" w14:textId="77777777" w:rsidR="00BE015C" w:rsidRDefault="00BE015C" w:rsidP="009F214A">
            <w:pPr>
              <w:pStyle w:val="TableParagraph"/>
              <w:spacing w:before="65"/>
              <w:ind w:left="64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2725" w:type="dxa"/>
          </w:tcPr>
          <w:p w14:paraId="21141170" w14:textId="77777777" w:rsidR="00BE015C" w:rsidRDefault="00BE015C" w:rsidP="009F214A">
            <w:pPr>
              <w:pStyle w:val="TableParagraph"/>
              <w:spacing w:before="65"/>
              <w:ind w:left="333"/>
              <w:rPr>
                <w:sz w:val="24"/>
              </w:rPr>
            </w:pPr>
            <w:r>
              <w:rPr>
                <w:sz w:val="24"/>
              </w:rPr>
              <w:t>Norman 2001 [35]</w:t>
            </w:r>
          </w:p>
        </w:tc>
        <w:tc>
          <w:tcPr>
            <w:tcW w:w="4771" w:type="dxa"/>
          </w:tcPr>
          <w:p w14:paraId="19EDC0FE" w14:textId="77777777" w:rsidR="00BE015C" w:rsidRDefault="00BE015C" w:rsidP="009F214A">
            <w:pPr>
              <w:pStyle w:val="TableParagraph"/>
              <w:spacing w:before="65"/>
              <w:ind w:left="191"/>
              <w:rPr>
                <w:sz w:val="24"/>
              </w:rPr>
            </w:pPr>
            <w:r>
              <w:rPr>
                <w:sz w:val="24"/>
              </w:rPr>
              <w:t>Not an SRQ interview-based</w:t>
            </w:r>
          </w:p>
        </w:tc>
      </w:tr>
      <w:tr w:rsidR="00BE015C" w14:paraId="7A2F8522" w14:textId="77777777" w:rsidTr="009F214A">
        <w:trPr>
          <w:trHeight w:val="416"/>
        </w:trPr>
        <w:tc>
          <w:tcPr>
            <w:tcW w:w="691" w:type="dxa"/>
          </w:tcPr>
          <w:p w14:paraId="2B1FEA15" w14:textId="77777777" w:rsidR="00BE015C" w:rsidRDefault="00BE015C" w:rsidP="009F214A">
            <w:pPr>
              <w:pStyle w:val="TableParagraph"/>
              <w:spacing w:before="64"/>
              <w:ind w:left="64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2725" w:type="dxa"/>
          </w:tcPr>
          <w:p w14:paraId="0263F9E7" w14:textId="77777777" w:rsidR="00BE015C" w:rsidRDefault="00BE015C" w:rsidP="009F214A">
            <w:pPr>
              <w:pStyle w:val="TableParagraph"/>
              <w:spacing w:before="64"/>
              <w:ind w:left="333"/>
              <w:rPr>
                <w:sz w:val="24"/>
              </w:rPr>
            </w:pPr>
            <w:r>
              <w:rPr>
                <w:sz w:val="24"/>
              </w:rPr>
              <w:t>Novackova 2012 [36]</w:t>
            </w:r>
          </w:p>
        </w:tc>
        <w:tc>
          <w:tcPr>
            <w:tcW w:w="4771" w:type="dxa"/>
          </w:tcPr>
          <w:p w14:paraId="5076D754" w14:textId="77777777" w:rsidR="00BE015C" w:rsidRDefault="00BE015C" w:rsidP="009F214A">
            <w:pPr>
              <w:pStyle w:val="TableParagraph"/>
              <w:spacing w:before="64"/>
              <w:ind w:left="191"/>
              <w:rPr>
                <w:sz w:val="24"/>
              </w:rPr>
            </w:pPr>
            <w:r>
              <w:rPr>
                <w:sz w:val="24"/>
              </w:rPr>
              <w:t>Not a validation study (SRQ used)</w:t>
            </w:r>
          </w:p>
        </w:tc>
      </w:tr>
      <w:tr w:rsidR="00BE015C" w14:paraId="4E01DF65" w14:textId="77777777" w:rsidTr="009F214A">
        <w:trPr>
          <w:trHeight w:val="417"/>
        </w:trPr>
        <w:tc>
          <w:tcPr>
            <w:tcW w:w="691" w:type="dxa"/>
          </w:tcPr>
          <w:p w14:paraId="0C137579" w14:textId="77777777" w:rsidR="00BE015C" w:rsidRDefault="00BE015C" w:rsidP="009F214A">
            <w:pPr>
              <w:pStyle w:val="TableParagraph"/>
              <w:spacing w:before="65"/>
              <w:ind w:left="64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2725" w:type="dxa"/>
          </w:tcPr>
          <w:p w14:paraId="618E49D8" w14:textId="77777777" w:rsidR="00BE015C" w:rsidRDefault="00BE015C" w:rsidP="009F214A">
            <w:pPr>
              <w:pStyle w:val="TableParagraph"/>
              <w:spacing w:before="65"/>
              <w:ind w:left="333"/>
              <w:rPr>
                <w:sz w:val="24"/>
              </w:rPr>
            </w:pPr>
            <w:r>
              <w:rPr>
                <w:sz w:val="24"/>
              </w:rPr>
              <w:t>Orhan 2018 [37]</w:t>
            </w:r>
          </w:p>
        </w:tc>
        <w:tc>
          <w:tcPr>
            <w:tcW w:w="4771" w:type="dxa"/>
          </w:tcPr>
          <w:p w14:paraId="2AB3C7B9" w14:textId="77777777" w:rsidR="00BE015C" w:rsidRDefault="00BE015C" w:rsidP="009F214A">
            <w:pPr>
              <w:pStyle w:val="TableParagraph"/>
              <w:spacing w:before="65"/>
              <w:ind w:left="191"/>
              <w:rPr>
                <w:sz w:val="24"/>
              </w:rPr>
            </w:pPr>
            <w:r>
              <w:rPr>
                <w:sz w:val="24"/>
              </w:rPr>
              <w:t>Full text not available</w:t>
            </w:r>
          </w:p>
        </w:tc>
      </w:tr>
      <w:tr w:rsidR="00BE015C" w14:paraId="6F008F22" w14:textId="77777777" w:rsidTr="009F214A">
        <w:trPr>
          <w:trHeight w:val="417"/>
        </w:trPr>
        <w:tc>
          <w:tcPr>
            <w:tcW w:w="691" w:type="dxa"/>
          </w:tcPr>
          <w:p w14:paraId="38E401B4" w14:textId="77777777" w:rsidR="00BE015C" w:rsidRDefault="00BE015C" w:rsidP="009F214A">
            <w:pPr>
              <w:pStyle w:val="TableParagraph"/>
              <w:spacing w:before="65"/>
              <w:ind w:left="64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2725" w:type="dxa"/>
          </w:tcPr>
          <w:p w14:paraId="1E223254" w14:textId="77777777" w:rsidR="00BE015C" w:rsidRDefault="00BE015C" w:rsidP="009F214A">
            <w:pPr>
              <w:pStyle w:val="TableParagraph"/>
              <w:spacing w:before="65"/>
              <w:ind w:left="333"/>
              <w:rPr>
                <w:sz w:val="24"/>
              </w:rPr>
            </w:pPr>
            <w:r>
              <w:rPr>
                <w:sz w:val="24"/>
              </w:rPr>
              <w:t>Queija 2017 [38]</w:t>
            </w:r>
          </w:p>
        </w:tc>
        <w:tc>
          <w:tcPr>
            <w:tcW w:w="4771" w:type="dxa"/>
          </w:tcPr>
          <w:p w14:paraId="20F1957D" w14:textId="77777777" w:rsidR="00BE015C" w:rsidRDefault="00BE015C" w:rsidP="009F214A">
            <w:pPr>
              <w:pStyle w:val="TableParagraph"/>
              <w:spacing w:before="65"/>
              <w:ind w:left="191"/>
              <w:rPr>
                <w:sz w:val="24"/>
              </w:rPr>
            </w:pPr>
            <w:r>
              <w:rPr>
                <w:sz w:val="24"/>
              </w:rPr>
              <w:t>Not an SRQ-Clinical tool</w:t>
            </w:r>
          </w:p>
        </w:tc>
      </w:tr>
      <w:tr w:rsidR="00BE015C" w14:paraId="6D45B254" w14:textId="77777777" w:rsidTr="009F214A">
        <w:trPr>
          <w:trHeight w:val="416"/>
        </w:trPr>
        <w:tc>
          <w:tcPr>
            <w:tcW w:w="691" w:type="dxa"/>
          </w:tcPr>
          <w:p w14:paraId="03800A6F" w14:textId="77777777" w:rsidR="00BE015C" w:rsidRDefault="00BE015C" w:rsidP="009F214A">
            <w:pPr>
              <w:pStyle w:val="TableParagraph"/>
              <w:spacing w:before="65"/>
              <w:ind w:left="64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2725" w:type="dxa"/>
          </w:tcPr>
          <w:p w14:paraId="621CFA32" w14:textId="77777777" w:rsidR="00BE015C" w:rsidRDefault="00BE015C" w:rsidP="009F214A">
            <w:pPr>
              <w:pStyle w:val="TableParagraph"/>
              <w:spacing w:before="65"/>
              <w:ind w:left="333"/>
              <w:rPr>
                <w:sz w:val="24"/>
              </w:rPr>
            </w:pPr>
            <w:r>
              <w:rPr>
                <w:sz w:val="24"/>
              </w:rPr>
              <w:t>Queija 2018 [39]</w:t>
            </w:r>
          </w:p>
        </w:tc>
        <w:tc>
          <w:tcPr>
            <w:tcW w:w="4771" w:type="dxa"/>
          </w:tcPr>
          <w:p w14:paraId="0CB74102" w14:textId="77777777" w:rsidR="00BE015C" w:rsidRDefault="00BE015C" w:rsidP="009F214A">
            <w:pPr>
              <w:pStyle w:val="TableParagraph"/>
              <w:spacing w:before="65"/>
              <w:ind w:left="191"/>
              <w:rPr>
                <w:sz w:val="24"/>
              </w:rPr>
            </w:pPr>
            <w:r>
              <w:rPr>
                <w:sz w:val="24"/>
              </w:rPr>
              <w:t>Not an SRQ-Clinical tool</w:t>
            </w:r>
          </w:p>
        </w:tc>
      </w:tr>
      <w:tr w:rsidR="00BE015C" w14:paraId="4616D035" w14:textId="77777777" w:rsidTr="009F214A">
        <w:trPr>
          <w:trHeight w:val="416"/>
        </w:trPr>
        <w:tc>
          <w:tcPr>
            <w:tcW w:w="691" w:type="dxa"/>
          </w:tcPr>
          <w:p w14:paraId="25D74118" w14:textId="77777777" w:rsidR="00BE015C" w:rsidRDefault="00BE015C" w:rsidP="009F214A">
            <w:pPr>
              <w:pStyle w:val="TableParagraph"/>
              <w:spacing w:before="64"/>
              <w:ind w:left="64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2725" w:type="dxa"/>
          </w:tcPr>
          <w:p w14:paraId="4DE903DE" w14:textId="77777777" w:rsidR="00BE015C" w:rsidRDefault="00BE015C" w:rsidP="009F214A">
            <w:pPr>
              <w:pStyle w:val="TableParagraph"/>
              <w:spacing w:before="64"/>
              <w:ind w:left="333"/>
              <w:rPr>
                <w:sz w:val="24"/>
              </w:rPr>
            </w:pPr>
            <w:r>
              <w:rPr>
                <w:sz w:val="24"/>
              </w:rPr>
              <w:t>Ridner 2007 [40]</w:t>
            </w:r>
          </w:p>
        </w:tc>
        <w:tc>
          <w:tcPr>
            <w:tcW w:w="4771" w:type="dxa"/>
          </w:tcPr>
          <w:p w14:paraId="7F4646CB" w14:textId="77777777" w:rsidR="00BE015C" w:rsidRDefault="00BE015C" w:rsidP="009F214A">
            <w:pPr>
              <w:pStyle w:val="TableParagraph"/>
              <w:spacing w:before="64"/>
              <w:ind w:left="191"/>
              <w:rPr>
                <w:sz w:val="24"/>
              </w:rPr>
            </w:pPr>
            <w:r>
              <w:rPr>
                <w:sz w:val="24"/>
              </w:rPr>
              <w:t>Not an SRQ interview-based</w:t>
            </w:r>
          </w:p>
        </w:tc>
      </w:tr>
      <w:tr w:rsidR="00BE015C" w14:paraId="302BF552" w14:textId="77777777" w:rsidTr="009F214A">
        <w:trPr>
          <w:trHeight w:val="417"/>
        </w:trPr>
        <w:tc>
          <w:tcPr>
            <w:tcW w:w="691" w:type="dxa"/>
          </w:tcPr>
          <w:p w14:paraId="743E61D5" w14:textId="77777777" w:rsidR="00BE015C" w:rsidRDefault="00BE015C" w:rsidP="009F214A">
            <w:pPr>
              <w:pStyle w:val="TableParagraph"/>
              <w:spacing w:before="65"/>
              <w:ind w:left="64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2725" w:type="dxa"/>
          </w:tcPr>
          <w:p w14:paraId="183C2DC1" w14:textId="77777777" w:rsidR="00BE015C" w:rsidRDefault="00BE015C" w:rsidP="009F214A">
            <w:pPr>
              <w:pStyle w:val="TableParagraph"/>
              <w:spacing w:before="65"/>
              <w:ind w:left="333"/>
              <w:rPr>
                <w:sz w:val="24"/>
              </w:rPr>
            </w:pPr>
            <w:r>
              <w:rPr>
                <w:sz w:val="24"/>
              </w:rPr>
              <w:t>Ridner 2010 [41]</w:t>
            </w:r>
          </w:p>
        </w:tc>
        <w:tc>
          <w:tcPr>
            <w:tcW w:w="4771" w:type="dxa"/>
          </w:tcPr>
          <w:p w14:paraId="57B404E0" w14:textId="77777777" w:rsidR="00BE015C" w:rsidRDefault="00BE015C" w:rsidP="009F214A">
            <w:pPr>
              <w:pStyle w:val="TableParagraph"/>
              <w:spacing w:before="65"/>
              <w:ind w:left="191"/>
              <w:rPr>
                <w:sz w:val="24"/>
              </w:rPr>
            </w:pPr>
            <w:r>
              <w:rPr>
                <w:sz w:val="24"/>
              </w:rPr>
              <w:t>Full text not available</w:t>
            </w:r>
          </w:p>
        </w:tc>
      </w:tr>
      <w:tr w:rsidR="00BE015C" w14:paraId="68ACD974" w14:textId="77777777" w:rsidTr="009F214A">
        <w:trPr>
          <w:trHeight w:val="417"/>
        </w:trPr>
        <w:tc>
          <w:tcPr>
            <w:tcW w:w="691" w:type="dxa"/>
          </w:tcPr>
          <w:p w14:paraId="216F0C81" w14:textId="77777777" w:rsidR="00BE015C" w:rsidRDefault="00BE015C" w:rsidP="009F214A">
            <w:pPr>
              <w:pStyle w:val="TableParagraph"/>
              <w:spacing w:before="65"/>
              <w:ind w:left="64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2725" w:type="dxa"/>
          </w:tcPr>
          <w:p w14:paraId="3C3F6FCE" w14:textId="77777777" w:rsidR="00BE015C" w:rsidRDefault="00BE015C" w:rsidP="009F214A">
            <w:pPr>
              <w:pStyle w:val="TableParagraph"/>
              <w:spacing w:before="65"/>
              <w:ind w:left="333"/>
              <w:rPr>
                <w:sz w:val="24"/>
              </w:rPr>
            </w:pPr>
            <w:r>
              <w:rPr>
                <w:sz w:val="24"/>
              </w:rPr>
              <w:t>Shamley 2015 [42]</w:t>
            </w:r>
          </w:p>
        </w:tc>
        <w:tc>
          <w:tcPr>
            <w:tcW w:w="4771" w:type="dxa"/>
          </w:tcPr>
          <w:p w14:paraId="68B0FB7D" w14:textId="77777777" w:rsidR="00BE015C" w:rsidRDefault="00BE015C" w:rsidP="009F214A">
            <w:pPr>
              <w:pStyle w:val="TableParagraph"/>
              <w:spacing w:before="65"/>
              <w:ind w:left="191"/>
              <w:rPr>
                <w:sz w:val="24"/>
              </w:rPr>
            </w:pPr>
            <w:r>
              <w:rPr>
                <w:sz w:val="24"/>
              </w:rPr>
              <w:t>Not an SRQ</w:t>
            </w:r>
          </w:p>
        </w:tc>
      </w:tr>
      <w:tr w:rsidR="00BE015C" w14:paraId="14245C60" w14:textId="77777777" w:rsidTr="009F214A">
        <w:trPr>
          <w:trHeight w:val="416"/>
        </w:trPr>
        <w:tc>
          <w:tcPr>
            <w:tcW w:w="691" w:type="dxa"/>
          </w:tcPr>
          <w:p w14:paraId="4A1F1853" w14:textId="77777777" w:rsidR="00BE015C" w:rsidRDefault="00BE015C" w:rsidP="009F214A">
            <w:pPr>
              <w:pStyle w:val="TableParagraph"/>
              <w:spacing w:before="65"/>
              <w:ind w:left="64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2725" w:type="dxa"/>
          </w:tcPr>
          <w:p w14:paraId="25F4F22F" w14:textId="77777777" w:rsidR="00BE015C" w:rsidRDefault="00BE015C" w:rsidP="009F214A">
            <w:pPr>
              <w:pStyle w:val="TableParagraph"/>
              <w:spacing w:before="65"/>
              <w:ind w:left="333"/>
              <w:rPr>
                <w:sz w:val="24"/>
              </w:rPr>
            </w:pPr>
            <w:r>
              <w:rPr>
                <w:sz w:val="24"/>
              </w:rPr>
              <w:t>Sierla 2013 [43]</w:t>
            </w:r>
          </w:p>
        </w:tc>
        <w:tc>
          <w:tcPr>
            <w:tcW w:w="4771" w:type="dxa"/>
          </w:tcPr>
          <w:p w14:paraId="40FBBA3C" w14:textId="77777777" w:rsidR="00BE015C" w:rsidRDefault="00BE015C" w:rsidP="009F214A">
            <w:pPr>
              <w:pStyle w:val="TableParagraph"/>
              <w:spacing w:before="65"/>
              <w:ind w:left="191"/>
              <w:rPr>
                <w:sz w:val="24"/>
              </w:rPr>
            </w:pPr>
            <w:r>
              <w:rPr>
                <w:sz w:val="24"/>
              </w:rPr>
              <w:t>Not an SRQ</w:t>
            </w:r>
          </w:p>
        </w:tc>
      </w:tr>
      <w:tr w:rsidR="00BE015C" w14:paraId="713A3975" w14:textId="77777777" w:rsidTr="009F214A">
        <w:trPr>
          <w:trHeight w:val="416"/>
        </w:trPr>
        <w:tc>
          <w:tcPr>
            <w:tcW w:w="691" w:type="dxa"/>
          </w:tcPr>
          <w:p w14:paraId="51F89AC7" w14:textId="77777777" w:rsidR="00BE015C" w:rsidRDefault="00BE015C" w:rsidP="009F214A">
            <w:pPr>
              <w:pStyle w:val="TableParagraph"/>
              <w:spacing w:before="64"/>
              <w:ind w:left="64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2725" w:type="dxa"/>
          </w:tcPr>
          <w:p w14:paraId="49569E35" w14:textId="77777777" w:rsidR="00BE015C" w:rsidRDefault="00BE015C" w:rsidP="009F214A">
            <w:pPr>
              <w:pStyle w:val="TableParagraph"/>
              <w:spacing w:before="64"/>
              <w:ind w:left="333"/>
              <w:rPr>
                <w:sz w:val="24"/>
              </w:rPr>
            </w:pPr>
            <w:r>
              <w:rPr>
                <w:sz w:val="24"/>
              </w:rPr>
              <w:t>Smith 2009 [44]</w:t>
            </w:r>
          </w:p>
        </w:tc>
        <w:tc>
          <w:tcPr>
            <w:tcW w:w="4771" w:type="dxa"/>
          </w:tcPr>
          <w:p w14:paraId="1B002FE6" w14:textId="77777777" w:rsidR="00BE015C" w:rsidRDefault="00BE015C" w:rsidP="009F214A">
            <w:pPr>
              <w:pStyle w:val="TableParagraph"/>
              <w:spacing w:before="64"/>
              <w:ind w:left="191"/>
              <w:rPr>
                <w:sz w:val="24"/>
              </w:rPr>
            </w:pPr>
            <w:r>
              <w:rPr>
                <w:sz w:val="24"/>
              </w:rPr>
              <w:t>Not a validation study (SRQ used)</w:t>
            </w:r>
          </w:p>
        </w:tc>
      </w:tr>
      <w:tr w:rsidR="00BE015C" w14:paraId="5EC9439C" w14:textId="77777777" w:rsidTr="009F214A">
        <w:trPr>
          <w:trHeight w:val="417"/>
        </w:trPr>
        <w:tc>
          <w:tcPr>
            <w:tcW w:w="691" w:type="dxa"/>
          </w:tcPr>
          <w:p w14:paraId="61BB3277" w14:textId="77777777" w:rsidR="00BE015C" w:rsidRDefault="00BE015C" w:rsidP="009F214A">
            <w:pPr>
              <w:pStyle w:val="TableParagraph"/>
              <w:spacing w:before="65"/>
              <w:ind w:left="64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2725" w:type="dxa"/>
          </w:tcPr>
          <w:p w14:paraId="658BEDE6" w14:textId="77777777" w:rsidR="00BE015C" w:rsidRDefault="00BE015C" w:rsidP="009F214A">
            <w:pPr>
              <w:pStyle w:val="TableParagraph"/>
              <w:spacing w:before="65"/>
              <w:ind w:left="333"/>
              <w:rPr>
                <w:sz w:val="24"/>
              </w:rPr>
            </w:pPr>
            <w:r>
              <w:rPr>
                <w:sz w:val="24"/>
              </w:rPr>
              <w:t>Spinelli 2019 [45]</w:t>
            </w:r>
          </w:p>
        </w:tc>
        <w:tc>
          <w:tcPr>
            <w:tcW w:w="4771" w:type="dxa"/>
          </w:tcPr>
          <w:p w14:paraId="44327542" w14:textId="77777777" w:rsidR="00BE015C" w:rsidRDefault="00BE015C" w:rsidP="009F214A">
            <w:pPr>
              <w:pStyle w:val="TableParagraph"/>
              <w:spacing w:before="65"/>
              <w:ind w:left="191"/>
              <w:rPr>
                <w:sz w:val="24"/>
              </w:rPr>
            </w:pPr>
            <w:r>
              <w:rPr>
                <w:sz w:val="24"/>
              </w:rPr>
              <w:t>Not an SRQ</w:t>
            </w:r>
          </w:p>
        </w:tc>
      </w:tr>
      <w:tr w:rsidR="00BE015C" w14:paraId="7DBC85F0" w14:textId="77777777" w:rsidTr="009F214A">
        <w:trPr>
          <w:trHeight w:val="417"/>
        </w:trPr>
        <w:tc>
          <w:tcPr>
            <w:tcW w:w="691" w:type="dxa"/>
          </w:tcPr>
          <w:p w14:paraId="6A33A152" w14:textId="77777777" w:rsidR="00BE015C" w:rsidRDefault="00BE015C" w:rsidP="009F214A">
            <w:pPr>
              <w:pStyle w:val="TableParagraph"/>
              <w:spacing w:before="65"/>
              <w:ind w:left="64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2725" w:type="dxa"/>
          </w:tcPr>
          <w:p w14:paraId="59C0A4F9" w14:textId="77777777" w:rsidR="00BE015C" w:rsidRDefault="00BE015C" w:rsidP="009F214A">
            <w:pPr>
              <w:pStyle w:val="TableParagraph"/>
              <w:spacing w:before="65"/>
              <w:ind w:left="333"/>
              <w:rPr>
                <w:sz w:val="24"/>
              </w:rPr>
            </w:pPr>
            <w:r>
              <w:rPr>
                <w:sz w:val="24"/>
              </w:rPr>
              <w:t>Stanton 2015 [46]</w:t>
            </w:r>
          </w:p>
        </w:tc>
        <w:tc>
          <w:tcPr>
            <w:tcW w:w="4771" w:type="dxa"/>
          </w:tcPr>
          <w:p w14:paraId="4E85CAA9" w14:textId="77777777" w:rsidR="00BE015C" w:rsidRDefault="00BE015C" w:rsidP="009F214A">
            <w:pPr>
              <w:pStyle w:val="TableParagraph"/>
              <w:spacing w:before="65"/>
              <w:ind w:left="191"/>
              <w:rPr>
                <w:sz w:val="24"/>
              </w:rPr>
            </w:pPr>
            <w:r>
              <w:rPr>
                <w:sz w:val="24"/>
              </w:rPr>
              <w:t>Full text not available</w:t>
            </w:r>
          </w:p>
        </w:tc>
      </w:tr>
      <w:tr w:rsidR="00BE015C" w14:paraId="710AE4B5" w14:textId="77777777" w:rsidTr="009F214A">
        <w:trPr>
          <w:trHeight w:val="416"/>
        </w:trPr>
        <w:tc>
          <w:tcPr>
            <w:tcW w:w="691" w:type="dxa"/>
          </w:tcPr>
          <w:p w14:paraId="446B5281" w14:textId="77777777" w:rsidR="00BE015C" w:rsidRDefault="00BE015C" w:rsidP="009F214A">
            <w:pPr>
              <w:pStyle w:val="TableParagraph"/>
              <w:spacing w:before="65"/>
              <w:ind w:left="64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2725" w:type="dxa"/>
          </w:tcPr>
          <w:p w14:paraId="644904B0" w14:textId="77777777" w:rsidR="00BE015C" w:rsidRDefault="00BE015C" w:rsidP="009F214A">
            <w:pPr>
              <w:pStyle w:val="TableParagraph"/>
              <w:spacing w:before="65"/>
              <w:ind w:left="333"/>
              <w:rPr>
                <w:sz w:val="24"/>
              </w:rPr>
            </w:pPr>
            <w:r>
              <w:rPr>
                <w:sz w:val="24"/>
              </w:rPr>
              <w:t>Stanton 2015 [47]</w:t>
            </w:r>
          </w:p>
        </w:tc>
        <w:tc>
          <w:tcPr>
            <w:tcW w:w="4771" w:type="dxa"/>
          </w:tcPr>
          <w:p w14:paraId="6045CE5E" w14:textId="77777777" w:rsidR="00BE015C" w:rsidRDefault="00BE015C" w:rsidP="009F214A">
            <w:pPr>
              <w:pStyle w:val="TableParagraph"/>
              <w:spacing w:before="65"/>
              <w:ind w:left="191"/>
              <w:rPr>
                <w:sz w:val="24"/>
              </w:rPr>
            </w:pPr>
            <w:r>
              <w:rPr>
                <w:sz w:val="24"/>
              </w:rPr>
              <w:t>Not an SRQ interview-based</w:t>
            </w:r>
          </w:p>
        </w:tc>
      </w:tr>
      <w:tr w:rsidR="00BE015C" w14:paraId="5381AA89" w14:textId="77777777" w:rsidTr="009F214A">
        <w:trPr>
          <w:trHeight w:val="673"/>
        </w:trPr>
        <w:tc>
          <w:tcPr>
            <w:tcW w:w="691" w:type="dxa"/>
          </w:tcPr>
          <w:p w14:paraId="49F4D78F" w14:textId="77777777" w:rsidR="00BE015C" w:rsidRDefault="00BE015C" w:rsidP="009F214A">
            <w:pPr>
              <w:pStyle w:val="TableParagraph"/>
              <w:spacing w:before="64"/>
              <w:ind w:left="64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2725" w:type="dxa"/>
          </w:tcPr>
          <w:p w14:paraId="50FE60B1" w14:textId="77777777" w:rsidR="00BE015C" w:rsidRDefault="00BE015C" w:rsidP="009F214A">
            <w:pPr>
              <w:pStyle w:val="TableParagraph"/>
              <w:spacing w:before="64"/>
              <w:ind w:left="333"/>
              <w:rPr>
                <w:sz w:val="24"/>
              </w:rPr>
            </w:pPr>
            <w:r>
              <w:rPr>
                <w:sz w:val="24"/>
              </w:rPr>
              <w:t>Thomas 2013 [48]</w:t>
            </w:r>
          </w:p>
        </w:tc>
        <w:tc>
          <w:tcPr>
            <w:tcW w:w="4771" w:type="dxa"/>
          </w:tcPr>
          <w:p w14:paraId="49D034AD" w14:textId="77777777" w:rsidR="00BE015C" w:rsidRDefault="00BE015C" w:rsidP="009F214A">
            <w:pPr>
              <w:pStyle w:val="TableParagraph"/>
              <w:spacing w:before="64"/>
              <w:ind w:left="191" w:right="274"/>
              <w:rPr>
                <w:sz w:val="24"/>
              </w:rPr>
            </w:pPr>
            <w:r>
              <w:rPr>
                <w:sz w:val="24"/>
              </w:rPr>
              <w:t>Not exclusively lymphoedema-specific SRQ (Lymphatic filariasis)</w:t>
            </w:r>
          </w:p>
        </w:tc>
      </w:tr>
      <w:tr w:rsidR="00BE015C" w14:paraId="199BC9A6" w14:textId="77777777" w:rsidTr="009F214A">
        <w:trPr>
          <w:trHeight w:val="930"/>
        </w:trPr>
        <w:tc>
          <w:tcPr>
            <w:tcW w:w="691" w:type="dxa"/>
          </w:tcPr>
          <w:p w14:paraId="307833DF" w14:textId="77777777" w:rsidR="00BE015C" w:rsidRDefault="00BE015C" w:rsidP="009F214A">
            <w:pPr>
              <w:pStyle w:val="TableParagraph"/>
              <w:spacing w:before="46"/>
              <w:ind w:left="64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2725" w:type="dxa"/>
          </w:tcPr>
          <w:p w14:paraId="0E6AAD49" w14:textId="77777777" w:rsidR="00BE015C" w:rsidRDefault="00BE015C" w:rsidP="009F214A">
            <w:pPr>
              <w:pStyle w:val="TableParagraph"/>
              <w:spacing w:before="46"/>
              <w:ind w:left="333"/>
              <w:rPr>
                <w:sz w:val="24"/>
              </w:rPr>
            </w:pPr>
            <w:r>
              <w:rPr>
                <w:sz w:val="24"/>
              </w:rPr>
              <w:t>Thomas 2014 [49]</w:t>
            </w:r>
          </w:p>
        </w:tc>
        <w:tc>
          <w:tcPr>
            <w:tcW w:w="4771" w:type="dxa"/>
          </w:tcPr>
          <w:p w14:paraId="2D8670A2" w14:textId="77777777" w:rsidR="00BE015C" w:rsidRDefault="00BE015C" w:rsidP="009F214A">
            <w:pPr>
              <w:pStyle w:val="TableParagraph"/>
              <w:spacing w:before="46"/>
              <w:ind w:left="191" w:right="441"/>
              <w:rPr>
                <w:sz w:val="24"/>
              </w:rPr>
            </w:pPr>
            <w:r>
              <w:rPr>
                <w:sz w:val="24"/>
              </w:rPr>
              <w:t>DLQI, WHODAS &amp; LFSQQ (Lymphatic filariasis) - Not exclusively lymphoedema- specific SRQs</w:t>
            </w:r>
          </w:p>
        </w:tc>
      </w:tr>
      <w:tr w:rsidR="00BE015C" w14:paraId="5111D184" w14:textId="77777777" w:rsidTr="009F214A">
        <w:trPr>
          <w:trHeight w:val="397"/>
        </w:trPr>
        <w:tc>
          <w:tcPr>
            <w:tcW w:w="691" w:type="dxa"/>
          </w:tcPr>
          <w:p w14:paraId="0893B422" w14:textId="77777777" w:rsidR="00BE015C" w:rsidRDefault="00BE015C" w:rsidP="009F214A">
            <w:pPr>
              <w:pStyle w:val="TableParagraph"/>
              <w:spacing w:before="45"/>
              <w:ind w:left="64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2725" w:type="dxa"/>
          </w:tcPr>
          <w:p w14:paraId="25723320" w14:textId="77777777" w:rsidR="00BE015C" w:rsidRDefault="00BE015C" w:rsidP="009F214A">
            <w:pPr>
              <w:pStyle w:val="TableParagraph"/>
              <w:spacing w:before="45"/>
              <w:ind w:left="333"/>
              <w:rPr>
                <w:sz w:val="24"/>
              </w:rPr>
            </w:pPr>
            <w:r>
              <w:rPr>
                <w:sz w:val="24"/>
              </w:rPr>
              <w:t>Tsuchiya 2012 [50]</w:t>
            </w:r>
          </w:p>
        </w:tc>
        <w:tc>
          <w:tcPr>
            <w:tcW w:w="4771" w:type="dxa"/>
          </w:tcPr>
          <w:p w14:paraId="29202400" w14:textId="77777777" w:rsidR="00BE015C" w:rsidRDefault="00BE015C" w:rsidP="009F214A">
            <w:pPr>
              <w:pStyle w:val="TableParagraph"/>
              <w:spacing w:before="45"/>
              <w:ind w:left="191"/>
              <w:rPr>
                <w:sz w:val="24"/>
              </w:rPr>
            </w:pPr>
            <w:r>
              <w:rPr>
                <w:sz w:val="24"/>
              </w:rPr>
              <w:t>Available only in Japanese</w:t>
            </w:r>
          </w:p>
        </w:tc>
      </w:tr>
      <w:tr w:rsidR="00BE015C" w14:paraId="0B8AFAC0" w14:textId="77777777" w:rsidTr="009F214A">
        <w:trPr>
          <w:trHeight w:val="417"/>
        </w:trPr>
        <w:tc>
          <w:tcPr>
            <w:tcW w:w="691" w:type="dxa"/>
          </w:tcPr>
          <w:p w14:paraId="339F93AA" w14:textId="77777777" w:rsidR="00BE015C" w:rsidRDefault="00BE015C" w:rsidP="009F214A">
            <w:pPr>
              <w:pStyle w:val="TableParagraph"/>
              <w:spacing w:before="65"/>
              <w:ind w:left="64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2725" w:type="dxa"/>
          </w:tcPr>
          <w:p w14:paraId="0BF0AB04" w14:textId="77777777" w:rsidR="00BE015C" w:rsidRDefault="00BE015C" w:rsidP="009F214A">
            <w:pPr>
              <w:pStyle w:val="TableParagraph"/>
              <w:spacing w:before="65"/>
              <w:ind w:left="333"/>
              <w:rPr>
                <w:sz w:val="24"/>
              </w:rPr>
            </w:pPr>
            <w:r>
              <w:rPr>
                <w:sz w:val="24"/>
              </w:rPr>
              <w:t>Wilson 2005 [51]</w:t>
            </w:r>
          </w:p>
        </w:tc>
        <w:tc>
          <w:tcPr>
            <w:tcW w:w="4771" w:type="dxa"/>
          </w:tcPr>
          <w:p w14:paraId="2ADD6C28" w14:textId="77777777" w:rsidR="00BE015C" w:rsidRDefault="00BE015C" w:rsidP="009F214A">
            <w:pPr>
              <w:pStyle w:val="TableParagraph"/>
              <w:spacing w:before="65"/>
              <w:ind w:left="191"/>
              <w:rPr>
                <w:sz w:val="24"/>
              </w:rPr>
            </w:pPr>
            <w:r>
              <w:rPr>
                <w:sz w:val="24"/>
              </w:rPr>
              <w:t>Not lymphoedema-specific SRQ</w:t>
            </w:r>
          </w:p>
        </w:tc>
      </w:tr>
      <w:tr w:rsidR="00BE015C" w14:paraId="4A9550EE" w14:textId="77777777" w:rsidTr="009F214A">
        <w:trPr>
          <w:trHeight w:val="417"/>
        </w:trPr>
        <w:tc>
          <w:tcPr>
            <w:tcW w:w="691" w:type="dxa"/>
          </w:tcPr>
          <w:p w14:paraId="6DC23E69" w14:textId="77777777" w:rsidR="00BE015C" w:rsidRDefault="00BE015C" w:rsidP="009F214A">
            <w:pPr>
              <w:pStyle w:val="TableParagraph"/>
              <w:spacing w:before="65"/>
              <w:ind w:left="64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2725" w:type="dxa"/>
          </w:tcPr>
          <w:p w14:paraId="4FE137DB" w14:textId="77777777" w:rsidR="00BE015C" w:rsidRDefault="00BE015C" w:rsidP="009F214A">
            <w:pPr>
              <w:pStyle w:val="TableParagraph"/>
              <w:spacing w:before="65"/>
              <w:ind w:left="333"/>
              <w:rPr>
                <w:sz w:val="24"/>
              </w:rPr>
            </w:pPr>
            <w:r>
              <w:rPr>
                <w:sz w:val="24"/>
              </w:rPr>
              <w:t>Yamamoto 2016 [52]</w:t>
            </w:r>
          </w:p>
        </w:tc>
        <w:tc>
          <w:tcPr>
            <w:tcW w:w="4771" w:type="dxa"/>
          </w:tcPr>
          <w:p w14:paraId="0E28B430" w14:textId="77777777" w:rsidR="00BE015C" w:rsidRDefault="00BE015C" w:rsidP="009F214A">
            <w:pPr>
              <w:pStyle w:val="TableParagraph"/>
              <w:spacing w:before="65"/>
              <w:ind w:left="191"/>
              <w:rPr>
                <w:sz w:val="24"/>
              </w:rPr>
            </w:pPr>
            <w:r>
              <w:rPr>
                <w:sz w:val="24"/>
              </w:rPr>
              <w:t>Not the indented setting-screening tool</w:t>
            </w:r>
          </w:p>
        </w:tc>
      </w:tr>
      <w:tr w:rsidR="00BE015C" w14:paraId="5C050038" w14:textId="77777777" w:rsidTr="009F214A">
        <w:trPr>
          <w:trHeight w:val="416"/>
        </w:trPr>
        <w:tc>
          <w:tcPr>
            <w:tcW w:w="691" w:type="dxa"/>
          </w:tcPr>
          <w:p w14:paraId="5D4E9CD7" w14:textId="77777777" w:rsidR="00BE015C" w:rsidRDefault="00BE015C" w:rsidP="009F214A">
            <w:pPr>
              <w:pStyle w:val="TableParagraph"/>
              <w:spacing w:before="65"/>
              <w:ind w:left="64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2725" w:type="dxa"/>
          </w:tcPr>
          <w:p w14:paraId="2BE3D0E7" w14:textId="77777777" w:rsidR="00BE015C" w:rsidRDefault="00BE015C" w:rsidP="009F214A">
            <w:pPr>
              <w:pStyle w:val="TableParagraph"/>
              <w:spacing w:before="65"/>
              <w:ind w:left="333"/>
              <w:rPr>
                <w:sz w:val="24"/>
              </w:rPr>
            </w:pPr>
            <w:r>
              <w:rPr>
                <w:sz w:val="24"/>
              </w:rPr>
              <w:t>Yost 2013 [53]</w:t>
            </w:r>
          </w:p>
        </w:tc>
        <w:tc>
          <w:tcPr>
            <w:tcW w:w="4771" w:type="dxa"/>
          </w:tcPr>
          <w:p w14:paraId="5DD1FDDD" w14:textId="77777777" w:rsidR="00BE015C" w:rsidRDefault="00BE015C" w:rsidP="009F214A">
            <w:pPr>
              <w:pStyle w:val="TableParagraph"/>
              <w:spacing w:before="65"/>
              <w:ind w:left="191"/>
              <w:rPr>
                <w:sz w:val="24"/>
              </w:rPr>
            </w:pPr>
            <w:r>
              <w:rPr>
                <w:sz w:val="24"/>
              </w:rPr>
              <w:t>Not the indented setting-screening tool</w:t>
            </w:r>
          </w:p>
        </w:tc>
      </w:tr>
      <w:tr w:rsidR="00BE015C" w14:paraId="29A11BF5" w14:textId="77777777" w:rsidTr="009F214A">
        <w:trPr>
          <w:trHeight w:val="432"/>
        </w:trPr>
        <w:tc>
          <w:tcPr>
            <w:tcW w:w="691" w:type="dxa"/>
            <w:tcBorders>
              <w:bottom w:val="single" w:sz="4" w:space="0" w:color="000000"/>
            </w:tcBorders>
          </w:tcPr>
          <w:p w14:paraId="46E644A0" w14:textId="77777777" w:rsidR="00BE015C" w:rsidRDefault="00BE015C" w:rsidP="009F214A">
            <w:pPr>
              <w:pStyle w:val="TableParagraph"/>
              <w:spacing w:before="64"/>
              <w:ind w:left="64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2725" w:type="dxa"/>
            <w:tcBorders>
              <w:bottom w:val="single" w:sz="4" w:space="0" w:color="000000"/>
            </w:tcBorders>
          </w:tcPr>
          <w:p w14:paraId="0AE397A1" w14:textId="77777777" w:rsidR="00BE015C" w:rsidRDefault="00BE015C" w:rsidP="009F214A">
            <w:pPr>
              <w:pStyle w:val="TableParagraph"/>
              <w:spacing w:before="64"/>
              <w:ind w:left="333"/>
              <w:rPr>
                <w:sz w:val="24"/>
              </w:rPr>
            </w:pPr>
            <w:r>
              <w:rPr>
                <w:sz w:val="24"/>
              </w:rPr>
              <w:t>Zeldenryk 2013 [54]</w:t>
            </w:r>
          </w:p>
        </w:tc>
        <w:tc>
          <w:tcPr>
            <w:tcW w:w="4771" w:type="dxa"/>
            <w:tcBorders>
              <w:bottom w:val="single" w:sz="4" w:space="0" w:color="000000"/>
            </w:tcBorders>
          </w:tcPr>
          <w:p w14:paraId="583CA55F" w14:textId="77777777" w:rsidR="00BE015C" w:rsidRDefault="00BE015C" w:rsidP="009F214A">
            <w:pPr>
              <w:pStyle w:val="TableParagraph"/>
              <w:spacing w:before="64"/>
              <w:ind w:left="191"/>
              <w:rPr>
                <w:sz w:val="24"/>
              </w:rPr>
            </w:pPr>
            <w:r>
              <w:rPr>
                <w:sz w:val="24"/>
              </w:rPr>
              <w:t>Full text not available</w:t>
            </w:r>
          </w:p>
        </w:tc>
      </w:tr>
    </w:tbl>
    <w:p w14:paraId="24BA55CE" w14:textId="77777777" w:rsidR="00BE015C" w:rsidRDefault="00BE015C" w:rsidP="00BE015C">
      <w:pPr>
        <w:rPr>
          <w:sz w:val="24"/>
        </w:rPr>
        <w:sectPr w:rsidR="00BE015C">
          <w:pgSz w:w="11910" w:h="16840"/>
          <w:pgMar w:top="1400" w:right="1320" w:bottom="1760" w:left="1320" w:header="0" w:footer="1563" w:gutter="0"/>
          <w:cols w:space="720"/>
        </w:sect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1"/>
        <w:gridCol w:w="2618"/>
        <w:gridCol w:w="4878"/>
      </w:tblGrid>
      <w:tr w:rsidR="00BE015C" w14:paraId="47DBBA99" w14:textId="77777777" w:rsidTr="009F214A">
        <w:trPr>
          <w:trHeight w:val="378"/>
        </w:trPr>
        <w:tc>
          <w:tcPr>
            <w:tcW w:w="691" w:type="dxa"/>
            <w:tcBorders>
              <w:top w:val="single" w:sz="4" w:space="0" w:color="000000"/>
              <w:bottom w:val="single" w:sz="4" w:space="0" w:color="000000"/>
            </w:tcBorders>
          </w:tcPr>
          <w:p w14:paraId="1B7A8479" w14:textId="77777777" w:rsidR="00BE015C" w:rsidRDefault="00BE015C" w:rsidP="009F214A">
            <w:pPr>
              <w:pStyle w:val="TableParagraph"/>
              <w:spacing w:before="49"/>
              <w:ind w:left="64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No</w:t>
            </w:r>
          </w:p>
        </w:tc>
        <w:tc>
          <w:tcPr>
            <w:tcW w:w="2618" w:type="dxa"/>
            <w:tcBorders>
              <w:top w:val="single" w:sz="4" w:space="0" w:color="000000"/>
              <w:bottom w:val="single" w:sz="4" w:space="0" w:color="000000"/>
            </w:tcBorders>
          </w:tcPr>
          <w:p w14:paraId="4638D81E" w14:textId="77777777" w:rsidR="00BE015C" w:rsidRDefault="00BE015C" w:rsidP="009F214A">
            <w:pPr>
              <w:pStyle w:val="TableParagraph"/>
              <w:spacing w:before="49"/>
              <w:ind w:left="333"/>
              <w:rPr>
                <w:b/>
                <w:sz w:val="24"/>
              </w:rPr>
            </w:pPr>
            <w:r>
              <w:rPr>
                <w:b/>
                <w:sz w:val="24"/>
              </w:rPr>
              <w:t>Studies excluded</w:t>
            </w:r>
          </w:p>
        </w:tc>
        <w:tc>
          <w:tcPr>
            <w:tcW w:w="4878" w:type="dxa"/>
            <w:tcBorders>
              <w:top w:val="single" w:sz="4" w:space="0" w:color="000000"/>
              <w:bottom w:val="single" w:sz="4" w:space="0" w:color="000000"/>
            </w:tcBorders>
          </w:tcPr>
          <w:p w14:paraId="0DC7DFA7" w14:textId="77777777" w:rsidR="00BE015C" w:rsidRDefault="00BE015C" w:rsidP="009F214A">
            <w:pPr>
              <w:pStyle w:val="TableParagraph"/>
              <w:spacing w:before="49"/>
              <w:ind w:left="298"/>
              <w:rPr>
                <w:b/>
                <w:sz w:val="24"/>
              </w:rPr>
            </w:pPr>
            <w:r>
              <w:rPr>
                <w:b/>
                <w:sz w:val="24"/>
              </w:rPr>
              <w:t>Reason for exclusion</w:t>
            </w:r>
          </w:p>
        </w:tc>
      </w:tr>
      <w:tr w:rsidR="00BE015C" w14:paraId="0197025D" w14:textId="77777777" w:rsidTr="009F214A">
        <w:trPr>
          <w:trHeight w:val="696"/>
        </w:trPr>
        <w:tc>
          <w:tcPr>
            <w:tcW w:w="691" w:type="dxa"/>
            <w:tcBorders>
              <w:top w:val="single" w:sz="4" w:space="0" w:color="000000"/>
            </w:tcBorders>
          </w:tcPr>
          <w:p w14:paraId="53924A82" w14:textId="77777777" w:rsidR="00BE015C" w:rsidRDefault="00BE015C" w:rsidP="009F214A">
            <w:pPr>
              <w:pStyle w:val="TableParagraph"/>
              <w:spacing w:before="49"/>
              <w:ind w:left="64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2618" w:type="dxa"/>
            <w:tcBorders>
              <w:top w:val="single" w:sz="4" w:space="0" w:color="000000"/>
            </w:tcBorders>
          </w:tcPr>
          <w:p w14:paraId="2E414FA5" w14:textId="77777777" w:rsidR="00BE015C" w:rsidRDefault="00BE015C" w:rsidP="009F214A">
            <w:pPr>
              <w:pStyle w:val="TableParagraph"/>
              <w:spacing w:before="49"/>
              <w:ind w:left="333"/>
              <w:rPr>
                <w:sz w:val="24"/>
              </w:rPr>
            </w:pPr>
            <w:r>
              <w:rPr>
                <w:sz w:val="24"/>
              </w:rPr>
              <w:t>Zeldenryk 2013 [55]</w:t>
            </w:r>
          </w:p>
        </w:tc>
        <w:tc>
          <w:tcPr>
            <w:tcW w:w="4878" w:type="dxa"/>
            <w:tcBorders>
              <w:top w:val="single" w:sz="4" w:space="0" w:color="000000"/>
            </w:tcBorders>
          </w:tcPr>
          <w:p w14:paraId="1A992E6E" w14:textId="77777777" w:rsidR="00BE015C" w:rsidRDefault="00BE015C" w:rsidP="009F214A">
            <w:pPr>
              <w:pStyle w:val="TableParagraph"/>
              <w:spacing w:before="49"/>
              <w:ind w:left="298" w:right="274"/>
              <w:rPr>
                <w:sz w:val="24"/>
              </w:rPr>
            </w:pPr>
            <w:r>
              <w:rPr>
                <w:sz w:val="24"/>
              </w:rPr>
              <w:t>Not exclusively lymphoedema-specific SRQ (Lymphatic filariasis)</w:t>
            </w:r>
          </w:p>
        </w:tc>
      </w:tr>
      <w:tr w:rsidR="00BE015C" w14:paraId="0913A7B8" w14:textId="77777777" w:rsidTr="009F214A">
        <w:trPr>
          <w:trHeight w:val="767"/>
        </w:trPr>
        <w:tc>
          <w:tcPr>
            <w:tcW w:w="691" w:type="dxa"/>
            <w:tcBorders>
              <w:bottom w:val="single" w:sz="4" w:space="0" w:color="000000"/>
            </w:tcBorders>
          </w:tcPr>
          <w:p w14:paraId="19425971" w14:textId="77777777" w:rsidR="00BE015C" w:rsidRDefault="00BE015C" w:rsidP="009F214A">
            <w:pPr>
              <w:pStyle w:val="TableParagraph"/>
              <w:spacing w:before="85"/>
              <w:ind w:left="64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2618" w:type="dxa"/>
            <w:tcBorders>
              <w:bottom w:val="single" w:sz="4" w:space="0" w:color="000000"/>
            </w:tcBorders>
          </w:tcPr>
          <w:p w14:paraId="216E0B9C" w14:textId="77777777" w:rsidR="00BE015C" w:rsidRDefault="00BE015C" w:rsidP="009F214A">
            <w:pPr>
              <w:pStyle w:val="TableParagraph"/>
              <w:spacing w:before="85"/>
              <w:ind w:left="333"/>
              <w:rPr>
                <w:sz w:val="24"/>
              </w:rPr>
            </w:pPr>
            <w:r>
              <w:rPr>
                <w:sz w:val="24"/>
              </w:rPr>
              <w:t>Zeldenryk 2014 [56]</w:t>
            </w:r>
          </w:p>
        </w:tc>
        <w:tc>
          <w:tcPr>
            <w:tcW w:w="4878" w:type="dxa"/>
            <w:tcBorders>
              <w:bottom w:val="single" w:sz="4" w:space="0" w:color="000000"/>
            </w:tcBorders>
          </w:tcPr>
          <w:p w14:paraId="15C0308F" w14:textId="77777777" w:rsidR="00BE015C" w:rsidRDefault="00BE015C" w:rsidP="009F214A">
            <w:pPr>
              <w:pStyle w:val="TableParagraph"/>
              <w:spacing w:before="85"/>
              <w:ind w:left="298" w:right="274"/>
              <w:rPr>
                <w:sz w:val="24"/>
              </w:rPr>
            </w:pPr>
            <w:r>
              <w:rPr>
                <w:sz w:val="24"/>
              </w:rPr>
              <w:t>Not exclusively lymphoedema-specific SRQ (Lymphatic filariasis)</w:t>
            </w:r>
          </w:p>
        </w:tc>
      </w:tr>
    </w:tbl>
    <w:p w14:paraId="5215FDCB" w14:textId="77777777" w:rsidR="00BE015C" w:rsidRDefault="00BE015C" w:rsidP="00BE015C">
      <w:pPr>
        <w:pStyle w:val="BodyText"/>
        <w:spacing w:before="9"/>
        <w:rPr>
          <w:sz w:val="17"/>
        </w:rPr>
      </w:pPr>
    </w:p>
    <w:p w14:paraId="30B642EE" w14:textId="77777777" w:rsidR="00BE015C" w:rsidRDefault="00BE015C" w:rsidP="00BE015C">
      <w:pPr>
        <w:pStyle w:val="Heading1"/>
        <w:spacing w:before="90"/>
      </w:pPr>
      <w:r>
        <w:t>Excluded References</w:t>
      </w:r>
    </w:p>
    <w:p w14:paraId="5B326F17" w14:textId="77777777" w:rsidR="00BE015C" w:rsidRDefault="00BE015C" w:rsidP="00BE015C">
      <w:pPr>
        <w:pStyle w:val="ListParagraph"/>
        <w:numPr>
          <w:ilvl w:val="0"/>
          <w:numId w:val="1"/>
        </w:numPr>
        <w:tabs>
          <w:tab w:val="left" w:pos="839"/>
          <w:tab w:val="left" w:pos="840"/>
        </w:tabs>
        <w:spacing w:before="4"/>
        <w:ind w:right="235"/>
        <w:rPr>
          <w:sz w:val="24"/>
        </w:rPr>
      </w:pPr>
      <w:r>
        <w:rPr>
          <w:sz w:val="24"/>
        </w:rPr>
        <w:t>Andrade Ortega JA, Millan Gomez AP, Ribeiro Gonzalez M, et al. Validation of the FACT-B + 4-UL questionnaire and exploration of its predictive value in women submitted to surgery for breast cancer [Validacion del cuestionario FACT-B+4-MS y exploracion de su capacidad predictora en mujeres intervenidas de cancer de mama.]. Med Clin (Barc). 2017 21</w:t>
      </w:r>
      <w:r>
        <w:rPr>
          <w:spacing w:val="-1"/>
          <w:sz w:val="24"/>
        </w:rPr>
        <w:t xml:space="preserve"> </w:t>
      </w:r>
      <w:r>
        <w:rPr>
          <w:sz w:val="24"/>
        </w:rPr>
        <w:t>Jun;148(12):555-558.</w:t>
      </w:r>
    </w:p>
    <w:p w14:paraId="38DC9BE6" w14:textId="77777777" w:rsidR="00BE015C" w:rsidRDefault="00BE015C" w:rsidP="00BE015C">
      <w:pPr>
        <w:pStyle w:val="ListParagraph"/>
        <w:numPr>
          <w:ilvl w:val="0"/>
          <w:numId w:val="1"/>
        </w:numPr>
        <w:tabs>
          <w:tab w:val="left" w:pos="839"/>
          <w:tab w:val="left" w:pos="840"/>
        </w:tabs>
        <w:ind w:right="556"/>
        <w:rPr>
          <w:sz w:val="24"/>
        </w:rPr>
      </w:pPr>
      <w:r>
        <w:rPr>
          <w:sz w:val="24"/>
        </w:rPr>
        <w:t>Armer J, Radina M, Porock D, et al. Predicting breast cancer-related lymphedema using self-reported symptoms. Nurs Res.</w:t>
      </w:r>
      <w:r>
        <w:rPr>
          <w:spacing w:val="-2"/>
          <w:sz w:val="24"/>
        </w:rPr>
        <w:t xml:space="preserve"> </w:t>
      </w:r>
      <w:r>
        <w:rPr>
          <w:sz w:val="24"/>
        </w:rPr>
        <w:t>2003;52(6):370-9.</w:t>
      </w:r>
    </w:p>
    <w:p w14:paraId="02559888" w14:textId="77777777" w:rsidR="00BE015C" w:rsidRDefault="00BE015C" w:rsidP="00BE015C">
      <w:pPr>
        <w:pStyle w:val="ListParagraph"/>
        <w:numPr>
          <w:ilvl w:val="0"/>
          <w:numId w:val="1"/>
        </w:numPr>
        <w:tabs>
          <w:tab w:val="left" w:pos="839"/>
          <w:tab w:val="left" w:pos="840"/>
        </w:tabs>
        <w:spacing w:before="1"/>
        <w:ind w:right="254"/>
        <w:rPr>
          <w:sz w:val="24"/>
        </w:rPr>
      </w:pPr>
      <w:r>
        <w:rPr>
          <w:sz w:val="24"/>
        </w:rPr>
        <w:t>Babu BV, Nayak AN, Rath K, et al. Use of the Dermatology Life Quality Index in filarial lymphoedema patients. Trans R Soc Trop Med Hyg. 2006 March;100(3):258- 263.</w:t>
      </w:r>
    </w:p>
    <w:p w14:paraId="28C941F2" w14:textId="77777777" w:rsidR="00BE015C" w:rsidRDefault="00BE015C" w:rsidP="00BE015C">
      <w:pPr>
        <w:pStyle w:val="ListParagraph"/>
        <w:numPr>
          <w:ilvl w:val="0"/>
          <w:numId w:val="1"/>
        </w:numPr>
        <w:tabs>
          <w:tab w:val="left" w:pos="839"/>
          <w:tab w:val="left" w:pos="840"/>
        </w:tabs>
        <w:ind w:right="295"/>
        <w:rPr>
          <w:sz w:val="24"/>
        </w:rPr>
      </w:pPr>
      <w:r>
        <w:rPr>
          <w:sz w:val="24"/>
        </w:rPr>
        <w:t>Brandini da Silva FC, José da Silva J, Sarri AJ, et al. Comprehensive Validation Study of Quality-of-Life Questionnaire Using Objective Clinical Measures: Breast Cancer Treatment Outcome Scale (BCTOS), Brazilian Portuguese Version [Article]. Clin Breast Cancer.</w:t>
      </w:r>
      <w:r>
        <w:rPr>
          <w:spacing w:val="-1"/>
          <w:sz w:val="24"/>
        </w:rPr>
        <w:t xml:space="preserve"> </w:t>
      </w:r>
      <w:r>
        <w:rPr>
          <w:sz w:val="24"/>
        </w:rPr>
        <w:t>2019;19(1):e85-e100.</w:t>
      </w:r>
    </w:p>
    <w:p w14:paraId="4BF39EA8" w14:textId="77777777" w:rsidR="00BE015C" w:rsidRDefault="00BE015C" w:rsidP="00BE015C">
      <w:pPr>
        <w:pStyle w:val="ListParagraph"/>
        <w:numPr>
          <w:ilvl w:val="0"/>
          <w:numId w:val="1"/>
        </w:numPr>
        <w:tabs>
          <w:tab w:val="left" w:pos="840"/>
        </w:tabs>
        <w:ind w:right="372"/>
        <w:jc w:val="both"/>
        <w:rPr>
          <w:sz w:val="24"/>
        </w:rPr>
      </w:pPr>
      <w:r>
        <w:rPr>
          <w:sz w:val="24"/>
        </w:rPr>
        <w:t>Bulley C, Gaal S, Coutts F, et al. Comparison of breast cancer-related lymphedema (Upper Limb Swelling) prevalence estimated using objective and subjective criteria and relationship with quality of life. BioMed Research International. 2013;2013 (no pagination)(807569).</w:t>
      </w:r>
    </w:p>
    <w:p w14:paraId="5C1A7749" w14:textId="77777777" w:rsidR="00BE015C" w:rsidRDefault="00BE015C" w:rsidP="00BE015C">
      <w:pPr>
        <w:pStyle w:val="ListParagraph"/>
        <w:numPr>
          <w:ilvl w:val="0"/>
          <w:numId w:val="1"/>
        </w:numPr>
        <w:tabs>
          <w:tab w:val="left" w:pos="840"/>
        </w:tabs>
        <w:ind w:right="129"/>
        <w:jc w:val="both"/>
        <w:rPr>
          <w:sz w:val="24"/>
        </w:rPr>
      </w:pPr>
      <w:r>
        <w:rPr>
          <w:sz w:val="24"/>
        </w:rPr>
        <w:t>Bulley C, Coutts F, Blyth C, et al. A Morbidity Screening Tool for identifying</w:t>
      </w:r>
      <w:r>
        <w:rPr>
          <w:spacing w:val="-23"/>
          <w:sz w:val="24"/>
        </w:rPr>
        <w:t xml:space="preserve"> </w:t>
      </w:r>
      <w:r>
        <w:rPr>
          <w:sz w:val="24"/>
        </w:rPr>
        <w:t>fatigue, pain, upper limb dysfunction and lymphedema after breast cancer treatment: a validity study. Eur J Oncol Nurs. 2014 Apr;18(2):218-27.</w:t>
      </w:r>
    </w:p>
    <w:p w14:paraId="7E5F06B4" w14:textId="77777777" w:rsidR="00BE015C" w:rsidRDefault="00BE015C" w:rsidP="00BE015C">
      <w:pPr>
        <w:pStyle w:val="ListParagraph"/>
        <w:numPr>
          <w:ilvl w:val="0"/>
          <w:numId w:val="1"/>
        </w:numPr>
        <w:tabs>
          <w:tab w:val="left" w:pos="839"/>
          <w:tab w:val="left" w:pos="840"/>
        </w:tabs>
        <w:ind w:right="773"/>
        <w:rPr>
          <w:sz w:val="24"/>
        </w:rPr>
      </w:pPr>
      <w:r>
        <w:rPr>
          <w:sz w:val="24"/>
        </w:rPr>
        <w:t>Carter J, Raviv L, Appollo K, et al. A pilot study using the Gynecologic Cancer Lymphedema Questionnaire (GCLQ) as a clinical care tool to identify lower extremity lymphedema in gynecologic cancer survivors. Gynecol Oncol. 2010 May;117(2):317-23.</w:t>
      </w:r>
    </w:p>
    <w:p w14:paraId="1E9129C5" w14:textId="77777777" w:rsidR="00BE015C" w:rsidRDefault="00BE015C" w:rsidP="00BE015C">
      <w:pPr>
        <w:pStyle w:val="ListParagraph"/>
        <w:numPr>
          <w:ilvl w:val="0"/>
          <w:numId w:val="1"/>
        </w:numPr>
        <w:tabs>
          <w:tab w:val="left" w:pos="839"/>
          <w:tab w:val="left" w:pos="840"/>
        </w:tabs>
        <w:ind w:right="219"/>
        <w:rPr>
          <w:sz w:val="24"/>
        </w:rPr>
      </w:pPr>
      <w:r>
        <w:rPr>
          <w:sz w:val="24"/>
        </w:rPr>
        <w:t>Chandrasena TGAN, Premaratna R, Muthugala MARV, et al. Modified Dermatology Life Quality Index as a measure of quality of life in patients with filarial lymphoedema. Trans R Soc Trop Med Hyg. 2007</w:t>
      </w:r>
      <w:r>
        <w:rPr>
          <w:spacing w:val="-3"/>
          <w:sz w:val="24"/>
        </w:rPr>
        <w:t xml:space="preserve"> </w:t>
      </w:r>
      <w:r>
        <w:rPr>
          <w:sz w:val="24"/>
        </w:rPr>
        <w:t>March;101(3):245-249.</w:t>
      </w:r>
    </w:p>
    <w:p w14:paraId="41FC2024" w14:textId="77777777" w:rsidR="00BE015C" w:rsidRDefault="00BE015C" w:rsidP="00BE015C">
      <w:pPr>
        <w:pStyle w:val="ListParagraph"/>
        <w:numPr>
          <w:ilvl w:val="0"/>
          <w:numId w:val="1"/>
        </w:numPr>
        <w:tabs>
          <w:tab w:val="left" w:pos="839"/>
          <w:tab w:val="left" w:pos="840"/>
        </w:tabs>
        <w:ind w:right="517"/>
        <w:rPr>
          <w:sz w:val="24"/>
        </w:rPr>
      </w:pPr>
      <w:r>
        <w:rPr>
          <w:sz w:val="24"/>
        </w:rPr>
        <w:t>Czerniec SA, Ward LC, Refshauge KM, et al. Assessment of breast cancer-related arm lymphedema comparison of physical measurement methods and self-report. Cancer Invest. 2010;28(1):54-62.</w:t>
      </w:r>
    </w:p>
    <w:p w14:paraId="0069DA0D" w14:textId="77777777" w:rsidR="00BE015C" w:rsidRDefault="00BE015C" w:rsidP="00BE015C">
      <w:pPr>
        <w:pStyle w:val="ListParagraph"/>
        <w:numPr>
          <w:ilvl w:val="0"/>
          <w:numId w:val="1"/>
        </w:numPr>
        <w:tabs>
          <w:tab w:val="left" w:pos="840"/>
        </w:tabs>
        <w:ind w:left="839" w:right="293"/>
        <w:jc w:val="both"/>
        <w:rPr>
          <w:sz w:val="24"/>
        </w:rPr>
      </w:pPr>
      <w:r>
        <w:rPr>
          <w:sz w:val="24"/>
        </w:rPr>
        <w:t>Davies C, Brockopp D, Moe K. Test-retest and internal consistency of the Disability of Arm, Shoulder and Hand (DASH) outcome measure in assessing functional status among breast cancer survivors with lymphedema. Rehabil Oncol.</w:t>
      </w:r>
      <w:r>
        <w:rPr>
          <w:spacing w:val="-13"/>
          <w:sz w:val="24"/>
        </w:rPr>
        <w:t xml:space="preserve"> </w:t>
      </w:r>
      <w:r>
        <w:rPr>
          <w:sz w:val="24"/>
        </w:rPr>
        <w:t>2015;33(1):28-31.</w:t>
      </w:r>
    </w:p>
    <w:p w14:paraId="77DED772" w14:textId="77777777" w:rsidR="00BE015C" w:rsidRDefault="00BE015C" w:rsidP="00BE015C">
      <w:pPr>
        <w:pStyle w:val="ListParagraph"/>
        <w:numPr>
          <w:ilvl w:val="0"/>
          <w:numId w:val="1"/>
        </w:numPr>
        <w:tabs>
          <w:tab w:val="left" w:pos="839"/>
          <w:tab w:val="left" w:pos="840"/>
        </w:tabs>
        <w:ind w:left="839" w:right="368"/>
        <w:rPr>
          <w:sz w:val="24"/>
        </w:rPr>
      </w:pPr>
      <w:r>
        <w:rPr>
          <w:sz w:val="24"/>
        </w:rPr>
        <w:t>Deng J, Ridner SH, Dietrich MS, et al. Comparison of head and neck cancer-related lymphedema prevalence using a patient-reported outcome measure and clinician- reported outcome measures. Support Care Cancer. 2014</w:t>
      </w:r>
      <w:r>
        <w:rPr>
          <w:spacing w:val="-3"/>
          <w:sz w:val="24"/>
        </w:rPr>
        <w:t xml:space="preserve"> </w:t>
      </w:r>
      <w:r>
        <w:rPr>
          <w:sz w:val="24"/>
        </w:rPr>
        <w:t>June;1):S202.</w:t>
      </w:r>
    </w:p>
    <w:p w14:paraId="3AFC2F7F" w14:textId="77777777" w:rsidR="00BE015C" w:rsidRDefault="00BE015C" w:rsidP="00BE015C">
      <w:pPr>
        <w:pStyle w:val="ListParagraph"/>
        <w:numPr>
          <w:ilvl w:val="0"/>
          <w:numId w:val="1"/>
        </w:numPr>
        <w:tabs>
          <w:tab w:val="left" w:pos="839"/>
          <w:tab w:val="left" w:pos="840"/>
        </w:tabs>
        <w:ind w:left="839" w:right="243"/>
        <w:rPr>
          <w:sz w:val="24"/>
        </w:rPr>
      </w:pPr>
      <w:r>
        <w:rPr>
          <w:sz w:val="24"/>
        </w:rPr>
        <w:t>Deng J, Ridner SH, Aulino JM, et al. Assessment and measurement of head and neck lymphedema: State-of-the-science and future directions. Oral Oncol. 2015 2015/05//;51(5):431-437.</w:t>
      </w:r>
    </w:p>
    <w:p w14:paraId="77B6DF65" w14:textId="77777777" w:rsidR="00BE015C" w:rsidRDefault="00BE015C" w:rsidP="00BE015C">
      <w:pPr>
        <w:rPr>
          <w:sz w:val="24"/>
        </w:rPr>
        <w:sectPr w:rsidR="00BE015C">
          <w:pgSz w:w="11910" w:h="16840"/>
          <w:pgMar w:top="1420" w:right="1320" w:bottom="1760" w:left="1320" w:header="0" w:footer="1563" w:gutter="0"/>
          <w:cols w:space="720"/>
        </w:sectPr>
      </w:pPr>
    </w:p>
    <w:p w14:paraId="3DA511BD" w14:textId="77777777" w:rsidR="00BE015C" w:rsidRDefault="00BE015C" w:rsidP="00BE015C">
      <w:pPr>
        <w:pStyle w:val="ListParagraph"/>
        <w:numPr>
          <w:ilvl w:val="0"/>
          <w:numId w:val="1"/>
        </w:numPr>
        <w:tabs>
          <w:tab w:val="left" w:pos="839"/>
          <w:tab w:val="left" w:pos="840"/>
        </w:tabs>
        <w:spacing w:before="60"/>
        <w:ind w:right="120"/>
        <w:rPr>
          <w:sz w:val="24"/>
        </w:rPr>
      </w:pPr>
      <w:r>
        <w:rPr>
          <w:sz w:val="24"/>
        </w:rPr>
        <w:lastRenderedPageBreak/>
        <w:t>Deng J, Ridner SH, Wells N, et al. Development and preliminary testing of head and neck cancer related external lymphedema and fibrosis assessment criteria. Eur J Oncol Nurs. 2015 01</w:t>
      </w:r>
      <w:r>
        <w:rPr>
          <w:spacing w:val="-1"/>
          <w:sz w:val="24"/>
        </w:rPr>
        <w:t xml:space="preserve"> </w:t>
      </w:r>
      <w:r>
        <w:rPr>
          <w:sz w:val="24"/>
        </w:rPr>
        <w:t>Feb;19(1):75-80.</w:t>
      </w:r>
    </w:p>
    <w:p w14:paraId="00A656CE" w14:textId="77777777" w:rsidR="00BE015C" w:rsidRDefault="00BE015C" w:rsidP="00BE015C">
      <w:pPr>
        <w:pStyle w:val="ListParagraph"/>
        <w:numPr>
          <w:ilvl w:val="0"/>
          <w:numId w:val="1"/>
        </w:numPr>
        <w:tabs>
          <w:tab w:val="left" w:pos="840"/>
        </w:tabs>
        <w:spacing w:before="1"/>
        <w:ind w:right="507"/>
        <w:jc w:val="both"/>
        <w:rPr>
          <w:sz w:val="24"/>
        </w:rPr>
      </w:pPr>
      <w:r>
        <w:rPr>
          <w:sz w:val="24"/>
        </w:rPr>
        <w:t>Deutscher D, Cook K, Kallen M, et al. Upper extremity regional swelling physical function measure: Development, calibration, and initial validation. Rehabil Oncol. 2019 January;37</w:t>
      </w:r>
      <w:r>
        <w:rPr>
          <w:spacing w:val="-1"/>
          <w:sz w:val="24"/>
        </w:rPr>
        <w:t xml:space="preserve"> </w:t>
      </w:r>
      <w:r>
        <w:rPr>
          <w:sz w:val="24"/>
        </w:rPr>
        <w:t>(1):E5-E6.</w:t>
      </w:r>
    </w:p>
    <w:p w14:paraId="085CD9D5" w14:textId="77777777" w:rsidR="00BE015C" w:rsidRDefault="00BE015C" w:rsidP="00BE015C">
      <w:pPr>
        <w:pStyle w:val="ListParagraph"/>
        <w:numPr>
          <w:ilvl w:val="0"/>
          <w:numId w:val="1"/>
        </w:numPr>
        <w:tabs>
          <w:tab w:val="left" w:pos="839"/>
          <w:tab w:val="left" w:pos="840"/>
        </w:tabs>
        <w:ind w:right="250"/>
        <w:rPr>
          <w:sz w:val="24"/>
        </w:rPr>
      </w:pPr>
      <w:r>
        <w:rPr>
          <w:sz w:val="24"/>
        </w:rPr>
        <w:t>Duygu E, Bakar Y, Keser I. Turkish version, validity and reliability of the patient benefit index-lymphedema. European Journal of Lymphology and Related Problems. 2017;29</w:t>
      </w:r>
      <w:r>
        <w:rPr>
          <w:spacing w:val="-1"/>
          <w:sz w:val="24"/>
        </w:rPr>
        <w:t xml:space="preserve"> </w:t>
      </w:r>
      <w:r>
        <w:rPr>
          <w:sz w:val="24"/>
        </w:rPr>
        <w:t>(76):42.</w:t>
      </w:r>
    </w:p>
    <w:p w14:paraId="6D1D6E4F" w14:textId="77777777" w:rsidR="00BE015C" w:rsidRDefault="00BE015C" w:rsidP="00BE015C">
      <w:pPr>
        <w:pStyle w:val="ListParagraph"/>
        <w:numPr>
          <w:ilvl w:val="0"/>
          <w:numId w:val="1"/>
        </w:numPr>
        <w:tabs>
          <w:tab w:val="left" w:pos="839"/>
          <w:tab w:val="left" w:pos="840"/>
        </w:tabs>
        <w:ind w:right="142"/>
        <w:rPr>
          <w:sz w:val="24"/>
        </w:rPr>
      </w:pPr>
      <w:r>
        <w:rPr>
          <w:sz w:val="24"/>
        </w:rPr>
        <w:t>Franklin H, Tora A, Deribe K, et al. Development of a scale to measure stigma related to podoconiosis in Southern Ethiopia. BMC Public Health.</w:t>
      </w:r>
      <w:r>
        <w:rPr>
          <w:spacing w:val="-5"/>
          <w:sz w:val="24"/>
        </w:rPr>
        <w:t xml:space="preserve"> </w:t>
      </w:r>
      <w:r>
        <w:rPr>
          <w:sz w:val="24"/>
        </w:rPr>
        <w:t>2013;13:298.</w:t>
      </w:r>
    </w:p>
    <w:p w14:paraId="1D1DBF4E" w14:textId="77777777" w:rsidR="00BE015C" w:rsidRDefault="00BE015C" w:rsidP="00BE015C">
      <w:pPr>
        <w:pStyle w:val="ListParagraph"/>
        <w:numPr>
          <w:ilvl w:val="0"/>
          <w:numId w:val="1"/>
        </w:numPr>
        <w:tabs>
          <w:tab w:val="left" w:pos="839"/>
          <w:tab w:val="left" w:pos="840"/>
        </w:tabs>
        <w:ind w:right="1044"/>
        <w:rPr>
          <w:sz w:val="24"/>
        </w:rPr>
      </w:pPr>
      <w:r>
        <w:rPr>
          <w:sz w:val="24"/>
        </w:rPr>
        <w:t>Fu MR, Kayal M, Guth A, et al. The role of symptom report in detecting and diagnosing lymphedema. Support Care Cancer. 2012</w:t>
      </w:r>
      <w:r>
        <w:rPr>
          <w:spacing w:val="-4"/>
          <w:sz w:val="24"/>
        </w:rPr>
        <w:t xml:space="preserve"> </w:t>
      </w:r>
      <w:r>
        <w:rPr>
          <w:sz w:val="24"/>
        </w:rPr>
        <w:t>June;20:S102.</w:t>
      </w:r>
    </w:p>
    <w:p w14:paraId="1940D31A" w14:textId="77777777" w:rsidR="00BE015C" w:rsidRDefault="00BE015C" w:rsidP="00BE015C">
      <w:pPr>
        <w:pStyle w:val="ListParagraph"/>
        <w:numPr>
          <w:ilvl w:val="0"/>
          <w:numId w:val="1"/>
        </w:numPr>
        <w:tabs>
          <w:tab w:val="left" w:pos="839"/>
          <w:tab w:val="left" w:pos="840"/>
        </w:tabs>
        <w:ind w:right="501"/>
        <w:rPr>
          <w:sz w:val="24"/>
        </w:rPr>
      </w:pPr>
      <w:r>
        <w:rPr>
          <w:sz w:val="24"/>
        </w:rPr>
        <w:t>Fu MR, Axelrod D, Cleland CM, et al. Symptom report in detecting breast cancer- related lymphedema. Breast Cancer (London). 2015 15</w:t>
      </w:r>
      <w:r>
        <w:rPr>
          <w:spacing w:val="-3"/>
          <w:sz w:val="24"/>
        </w:rPr>
        <w:t xml:space="preserve"> </w:t>
      </w:r>
      <w:r>
        <w:rPr>
          <w:sz w:val="24"/>
        </w:rPr>
        <w:t>Oct;7:345-352.</w:t>
      </w:r>
    </w:p>
    <w:p w14:paraId="66EF5606" w14:textId="77777777" w:rsidR="00BE015C" w:rsidRDefault="00BE015C" w:rsidP="00BE015C">
      <w:pPr>
        <w:pStyle w:val="ListParagraph"/>
        <w:numPr>
          <w:ilvl w:val="0"/>
          <w:numId w:val="1"/>
        </w:numPr>
        <w:tabs>
          <w:tab w:val="left" w:pos="839"/>
          <w:tab w:val="left" w:pos="840"/>
        </w:tabs>
        <w:ind w:right="239"/>
        <w:rPr>
          <w:sz w:val="24"/>
        </w:rPr>
      </w:pPr>
      <w:r>
        <w:rPr>
          <w:sz w:val="24"/>
        </w:rPr>
        <w:t>Gonzalez-Sanchez J, Sanchez-Mata F. Quality of life, rating scales, and lymphedema preventive measures. Rehabilitacion. 2010 Oct;44(Suppl</w:t>
      </w:r>
      <w:r>
        <w:rPr>
          <w:spacing w:val="-3"/>
          <w:sz w:val="24"/>
        </w:rPr>
        <w:t xml:space="preserve"> </w:t>
      </w:r>
      <w:r>
        <w:rPr>
          <w:sz w:val="24"/>
        </w:rPr>
        <w:t>1):44-8.</w:t>
      </w:r>
    </w:p>
    <w:p w14:paraId="06C40C42" w14:textId="77777777" w:rsidR="00BE015C" w:rsidRDefault="00BE015C" w:rsidP="00BE015C">
      <w:pPr>
        <w:pStyle w:val="ListParagraph"/>
        <w:numPr>
          <w:ilvl w:val="0"/>
          <w:numId w:val="1"/>
        </w:numPr>
        <w:tabs>
          <w:tab w:val="left" w:pos="839"/>
          <w:tab w:val="left" w:pos="840"/>
        </w:tabs>
        <w:ind w:right="161"/>
        <w:rPr>
          <w:sz w:val="24"/>
        </w:rPr>
      </w:pPr>
      <w:r>
        <w:rPr>
          <w:sz w:val="24"/>
        </w:rPr>
        <w:t>Henok L, Davey G. Validation of the Dermatology Life Quality Index among patients with podoconiosis in southern Ethiopia. Br J Dermatol. 2008</w:t>
      </w:r>
      <w:r>
        <w:rPr>
          <w:spacing w:val="-8"/>
          <w:sz w:val="24"/>
        </w:rPr>
        <w:t xml:space="preserve"> </w:t>
      </w:r>
      <w:r>
        <w:rPr>
          <w:sz w:val="24"/>
        </w:rPr>
        <w:t>Sep;159(4):903-6.</w:t>
      </w:r>
    </w:p>
    <w:p w14:paraId="2A16FEEB" w14:textId="77777777" w:rsidR="00BE015C" w:rsidRDefault="00BE015C" w:rsidP="00BE015C">
      <w:pPr>
        <w:pStyle w:val="ListParagraph"/>
        <w:numPr>
          <w:ilvl w:val="0"/>
          <w:numId w:val="1"/>
        </w:numPr>
        <w:tabs>
          <w:tab w:val="left" w:pos="839"/>
          <w:tab w:val="left" w:pos="840"/>
        </w:tabs>
        <w:ind w:right="472"/>
        <w:rPr>
          <w:sz w:val="24"/>
        </w:rPr>
      </w:pPr>
      <w:r>
        <w:rPr>
          <w:sz w:val="24"/>
        </w:rPr>
        <w:t>Hollyhead C, Branney P. The feasibility of psychometric measures for body image and lymphedema for routine practice. Int J Urol Nurs.</w:t>
      </w:r>
      <w:r>
        <w:rPr>
          <w:spacing w:val="-6"/>
          <w:sz w:val="24"/>
        </w:rPr>
        <w:t xml:space="preserve"> </w:t>
      </w:r>
      <w:r>
        <w:rPr>
          <w:sz w:val="24"/>
        </w:rPr>
        <w:t>2020;14(1):18-26.</w:t>
      </w:r>
    </w:p>
    <w:p w14:paraId="4F3E4706" w14:textId="77777777" w:rsidR="00BE015C" w:rsidRDefault="00BE015C" w:rsidP="00BE015C">
      <w:pPr>
        <w:pStyle w:val="ListParagraph"/>
        <w:numPr>
          <w:ilvl w:val="0"/>
          <w:numId w:val="1"/>
        </w:numPr>
        <w:tabs>
          <w:tab w:val="left" w:pos="839"/>
          <w:tab w:val="left" w:pos="840"/>
        </w:tabs>
        <w:ind w:right="1140"/>
        <w:rPr>
          <w:sz w:val="24"/>
        </w:rPr>
      </w:pPr>
      <w:r>
        <w:rPr>
          <w:sz w:val="24"/>
        </w:rPr>
        <w:t>Hu SH, Cleland CM, Fu MR. Measuring lymphedema symptom burdens: A psychometric study. Support Care Cancer. 2012</w:t>
      </w:r>
      <w:r>
        <w:rPr>
          <w:spacing w:val="-4"/>
          <w:sz w:val="24"/>
        </w:rPr>
        <w:t xml:space="preserve"> </w:t>
      </w:r>
      <w:r>
        <w:rPr>
          <w:sz w:val="24"/>
        </w:rPr>
        <w:t>June;20:S273.</w:t>
      </w:r>
    </w:p>
    <w:p w14:paraId="2337A03A" w14:textId="77777777" w:rsidR="00BE015C" w:rsidRDefault="00BE015C" w:rsidP="00BE015C">
      <w:pPr>
        <w:pStyle w:val="ListParagraph"/>
        <w:numPr>
          <w:ilvl w:val="0"/>
          <w:numId w:val="1"/>
        </w:numPr>
        <w:tabs>
          <w:tab w:val="left" w:pos="839"/>
          <w:tab w:val="left" w:pos="840"/>
        </w:tabs>
        <w:ind w:right="143"/>
        <w:rPr>
          <w:sz w:val="24"/>
        </w:rPr>
      </w:pPr>
      <w:r>
        <w:rPr>
          <w:sz w:val="24"/>
        </w:rPr>
        <w:t>Jackson LK, Ridner SH, Jie D, et al. Internal Lymphedema Correlates with Subjective and Objective Measures of Dysphagia in Head and Neck Cancer Patients. J Palliat Med.</w:t>
      </w:r>
      <w:r>
        <w:rPr>
          <w:spacing w:val="-1"/>
          <w:sz w:val="24"/>
        </w:rPr>
        <w:t xml:space="preserve"> </w:t>
      </w:r>
      <w:r>
        <w:rPr>
          <w:sz w:val="24"/>
        </w:rPr>
        <w:t>2016;19(9):949-956.</w:t>
      </w:r>
    </w:p>
    <w:p w14:paraId="280A8BE4" w14:textId="77777777" w:rsidR="00BE015C" w:rsidRDefault="00BE015C" w:rsidP="00BE015C">
      <w:pPr>
        <w:pStyle w:val="ListParagraph"/>
        <w:numPr>
          <w:ilvl w:val="0"/>
          <w:numId w:val="1"/>
        </w:numPr>
        <w:tabs>
          <w:tab w:val="left" w:pos="839"/>
          <w:tab w:val="left" w:pos="840"/>
        </w:tabs>
        <w:ind w:right="239"/>
        <w:rPr>
          <w:sz w:val="24"/>
        </w:rPr>
      </w:pPr>
      <w:r>
        <w:rPr>
          <w:sz w:val="24"/>
        </w:rPr>
        <w:t>Keeley V, Veigas D, Crook J. The development of a condition-specific quality of life measure for lymphoedema (LYMQOL). European Journal of Lymphology and Related Problems.</w:t>
      </w:r>
      <w:r>
        <w:rPr>
          <w:spacing w:val="-1"/>
          <w:sz w:val="24"/>
        </w:rPr>
        <w:t xml:space="preserve"> </w:t>
      </w:r>
      <w:r>
        <w:rPr>
          <w:sz w:val="24"/>
        </w:rPr>
        <w:t>2004;12(41):36.</w:t>
      </w:r>
    </w:p>
    <w:p w14:paraId="37A573DC" w14:textId="77777777" w:rsidR="00BE015C" w:rsidRDefault="00BE015C" w:rsidP="00BE015C">
      <w:pPr>
        <w:pStyle w:val="ListParagraph"/>
        <w:numPr>
          <w:ilvl w:val="0"/>
          <w:numId w:val="1"/>
        </w:numPr>
        <w:tabs>
          <w:tab w:val="left" w:pos="839"/>
          <w:tab w:val="left" w:pos="840"/>
        </w:tabs>
        <w:ind w:right="247"/>
        <w:rPr>
          <w:sz w:val="24"/>
        </w:rPr>
      </w:pPr>
      <w:r>
        <w:rPr>
          <w:sz w:val="24"/>
        </w:rPr>
        <w:t>Kim SI, Kim N, Lee S, et al. Development of the short version of the Gynecologic Cancer Lymphedema Questionnaire: GCLQ-7. J Gynecol Oncol. 2017</w:t>
      </w:r>
      <w:r>
        <w:rPr>
          <w:spacing w:val="-18"/>
          <w:sz w:val="24"/>
        </w:rPr>
        <w:t xml:space="preserve"> </w:t>
      </w:r>
      <w:r>
        <w:rPr>
          <w:sz w:val="24"/>
        </w:rPr>
        <w:t>Mar;28(2):e9.</w:t>
      </w:r>
    </w:p>
    <w:p w14:paraId="615A8414" w14:textId="77777777" w:rsidR="00BE015C" w:rsidRDefault="00BE015C" w:rsidP="00BE015C">
      <w:pPr>
        <w:pStyle w:val="ListParagraph"/>
        <w:numPr>
          <w:ilvl w:val="0"/>
          <w:numId w:val="1"/>
        </w:numPr>
        <w:tabs>
          <w:tab w:val="left" w:pos="839"/>
          <w:tab w:val="left" w:pos="840"/>
        </w:tabs>
        <w:ind w:left="839" w:right="142"/>
        <w:rPr>
          <w:sz w:val="24"/>
        </w:rPr>
      </w:pPr>
      <w:r>
        <w:rPr>
          <w:sz w:val="24"/>
        </w:rPr>
        <w:t>Lim MC, Lee JS, Joo J, et al. Development and evaluation of the Korean version of the Gynecologic Cancer Lymphedema Questionnaire in gynecologic cancer survivors. Gynecol Oncol. 2014</w:t>
      </w:r>
      <w:r>
        <w:rPr>
          <w:spacing w:val="-1"/>
          <w:sz w:val="24"/>
        </w:rPr>
        <w:t xml:space="preserve"> </w:t>
      </w:r>
      <w:r>
        <w:rPr>
          <w:sz w:val="24"/>
        </w:rPr>
        <w:t>Apr;133(1):111-6.</w:t>
      </w:r>
    </w:p>
    <w:p w14:paraId="6889E634" w14:textId="77777777" w:rsidR="00BE015C" w:rsidRDefault="00BE015C" w:rsidP="00BE015C">
      <w:pPr>
        <w:pStyle w:val="ListParagraph"/>
        <w:numPr>
          <w:ilvl w:val="0"/>
          <w:numId w:val="1"/>
        </w:numPr>
        <w:tabs>
          <w:tab w:val="left" w:pos="839"/>
          <w:tab w:val="left" w:pos="840"/>
        </w:tabs>
        <w:ind w:right="238"/>
        <w:rPr>
          <w:sz w:val="24"/>
        </w:rPr>
      </w:pPr>
      <w:r>
        <w:rPr>
          <w:sz w:val="24"/>
        </w:rPr>
        <w:t>Marques P, Dores G, Costa C, et al. Translation and cultural adaptation of the ICC- compression questionnaire for Portuguese language. Ann Med. 2019;51 (Supplement 1):S213-S214.</w:t>
      </w:r>
    </w:p>
    <w:p w14:paraId="0D514B29" w14:textId="77777777" w:rsidR="00BE015C" w:rsidRDefault="00BE015C" w:rsidP="00BE015C">
      <w:pPr>
        <w:pStyle w:val="ListParagraph"/>
        <w:numPr>
          <w:ilvl w:val="0"/>
          <w:numId w:val="1"/>
        </w:numPr>
        <w:tabs>
          <w:tab w:val="left" w:pos="839"/>
          <w:tab w:val="left" w:pos="840"/>
        </w:tabs>
        <w:ind w:left="839" w:right="194"/>
        <w:rPr>
          <w:sz w:val="24"/>
        </w:rPr>
      </w:pPr>
      <w:r>
        <w:rPr>
          <w:sz w:val="24"/>
        </w:rPr>
        <w:t>Mayrovitz HN, Weingrad DN, Lopez L. Assessing Localized Skin-to-Fat Water in Arms of Women with Breast Cancer Via Tissue Dielectric Constant Measurements in Pre- and Post-surgery Patients [In Press]. Annals of Surgical Oncology.</w:t>
      </w:r>
      <w:r>
        <w:rPr>
          <w:spacing w:val="-11"/>
          <w:sz w:val="24"/>
        </w:rPr>
        <w:t xml:space="preserve"> </w:t>
      </w:r>
      <w:r>
        <w:rPr>
          <w:sz w:val="24"/>
        </w:rPr>
        <w:t>2014;12.</w:t>
      </w:r>
    </w:p>
    <w:p w14:paraId="02BD1773" w14:textId="77777777" w:rsidR="00BE015C" w:rsidRDefault="00BE015C" w:rsidP="00BE015C">
      <w:pPr>
        <w:pStyle w:val="ListParagraph"/>
        <w:numPr>
          <w:ilvl w:val="0"/>
          <w:numId w:val="1"/>
        </w:numPr>
        <w:tabs>
          <w:tab w:val="left" w:pos="839"/>
          <w:tab w:val="left" w:pos="840"/>
        </w:tabs>
        <w:ind w:left="839" w:right="309"/>
        <w:rPr>
          <w:sz w:val="24"/>
        </w:rPr>
      </w:pPr>
      <w:r>
        <w:rPr>
          <w:sz w:val="24"/>
        </w:rPr>
        <w:t>Morris CM, Lee TS, Czerniec SA, et al. A patient-based self-examination survey for staging the severity of lymphoedema. J Lymphoedema.</w:t>
      </w:r>
      <w:r>
        <w:rPr>
          <w:spacing w:val="-5"/>
          <w:sz w:val="24"/>
        </w:rPr>
        <w:t xml:space="preserve"> </w:t>
      </w:r>
      <w:r>
        <w:rPr>
          <w:sz w:val="24"/>
        </w:rPr>
        <w:t>2017;12(1):10-15.</w:t>
      </w:r>
    </w:p>
    <w:p w14:paraId="2B39490E" w14:textId="77777777" w:rsidR="00BE015C" w:rsidRDefault="00BE015C" w:rsidP="00BE015C">
      <w:pPr>
        <w:pStyle w:val="ListParagraph"/>
        <w:numPr>
          <w:ilvl w:val="0"/>
          <w:numId w:val="1"/>
        </w:numPr>
        <w:tabs>
          <w:tab w:val="left" w:pos="839"/>
          <w:tab w:val="left" w:pos="840"/>
        </w:tabs>
        <w:ind w:left="839" w:right="261"/>
        <w:rPr>
          <w:sz w:val="24"/>
        </w:rPr>
      </w:pPr>
      <w:r>
        <w:rPr>
          <w:sz w:val="24"/>
        </w:rPr>
        <w:t>Nesvold IL, Fossa SD, Naume B, et al. Kwan's arm problem scale: Psychometric examination in a sample of stage II breast cancer survivors. Breast Cancer Res Treat. 2009</w:t>
      </w:r>
      <w:r>
        <w:rPr>
          <w:spacing w:val="-1"/>
          <w:sz w:val="24"/>
        </w:rPr>
        <w:t xml:space="preserve"> </w:t>
      </w:r>
      <w:r>
        <w:rPr>
          <w:sz w:val="24"/>
        </w:rPr>
        <w:t>September;117(2):281-288.</w:t>
      </w:r>
    </w:p>
    <w:p w14:paraId="4FB4735B" w14:textId="77777777" w:rsidR="00BE015C" w:rsidRDefault="00BE015C" w:rsidP="00BE015C">
      <w:pPr>
        <w:pStyle w:val="ListParagraph"/>
        <w:numPr>
          <w:ilvl w:val="0"/>
          <w:numId w:val="1"/>
        </w:numPr>
        <w:tabs>
          <w:tab w:val="left" w:pos="839"/>
          <w:tab w:val="left" w:pos="840"/>
        </w:tabs>
        <w:ind w:left="839" w:right="252"/>
        <w:rPr>
          <w:sz w:val="24"/>
        </w:rPr>
      </w:pPr>
      <w:r>
        <w:rPr>
          <w:sz w:val="24"/>
        </w:rPr>
        <w:t>Netto MJ, Bonfim C, Brandao E, et al. Burden of lymphatic filariasis morbidity in an area of low endemicity in Brazil. Acta Trop. 2016 01</w:t>
      </w:r>
      <w:r>
        <w:rPr>
          <w:spacing w:val="-5"/>
          <w:sz w:val="24"/>
        </w:rPr>
        <w:t xml:space="preserve"> </w:t>
      </w:r>
      <w:r>
        <w:rPr>
          <w:sz w:val="24"/>
        </w:rPr>
        <w:t>Nov;163:54-60.</w:t>
      </w:r>
    </w:p>
    <w:p w14:paraId="58BA4FA9" w14:textId="77777777" w:rsidR="00BE015C" w:rsidRDefault="00BE015C" w:rsidP="00BE015C">
      <w:pPr>
        <w:pStyle w:val="ListParagraph"/>
        <w:numPr>
          <w:ilvl w:val="0"/>
          <w:numId w:val="1"/>
        </w:numPr>
        <w:tabs>
          <w:tab w:val="left" w:pos="839"/>
          <w:tab w:val="left" w:pos="840"/>
        </w:tabs>
        <w:spacing w:before="1"/>
        <w:ind w:left="839" w:right="379"/>
        <w:rPr>
          <w:sz w:val="24"/>
        </w:rPr>
      </w:pPr>
      <w:r>
        <w:rPr>
          <w:sz w:val="24"/>
        </w:rPr>
        <w:t>Nixon J, Purcell A, Fleming J, et al. Pilot study of an assessment tool for measuring head and neck lymphoedema. Br J Community Nurs. 2014 Apr;Suppl:S6,</w:t>
      </w:r>
      <w:r>
        <w:rPr>
          <w:spacing w:val="-12"/>
          <w:sz w:val="24"/>
        </w:rPr>
        <w:t xml:space="preserve"> </w:t>
      </w:r>
      <w:r>
        <w:rPr>
          <w:sz w:val="24"/>
        </w:rPr>
        <w:t>S8-S11.</w:t>
      </w:r>
    </w:p>
    <w:p w14:paraId="7E8EEBEB" w14:textId="77777777" w:rsidR="00BE015C" w:rsidRDefault="00BE015C" w:rsidP="00BE015C">
      <w:pPr>
        <w:rPr>
          <w:sz w:val="24"/>
        </w:rPr>
        <w:sectPr w:rsidR="00BE015C">
          <w:pgSz w:w="11910" w:h="16840"/>
          <w:pgMar w:top="1360" w:right="1320" w:bottom="1780" w:left="1320" w:header="0" w:footer="1563" w:gutter="0"/>
          <w:cols w:space="720"/>
        </w:sectPr>
      </w:pPr>
    </w:p>
    <w:p w14:paraId="4BFD9B4B" w14:textId="77777777" w:rsidR="00BE015C" w:rsidRDefault="00BE015C" w:rsidP="00BE015C">
      <w:pPr>
        <w:pStyle w:val="ListParagraph"/>
        <w:numPr>
          <w:ilvl w:val="0"/>
          <w:numId w:val="1"/>
        </w:numPr>
        <w:tabs>
          <w:tab w:val="left" w:pos="839"/>
          <w:tab w:val="left" w:pos="840"/>
        </w:tabs>
        <w:spacing w:before="60"/>
        <w:ind w:right="261"/>
        <w:rPr>
          <w:sz w:val="24"/>
        </w:rPr>
      </w:pPr>
      <w:r>
        <w:rPr>
          <w:sz w:val="24"/>
        </w:rPr>
        <w:lastRenderedPageBreak/>
        <w:t>Noble-Jones R, Fitzpatrick B, Sneddon MC, et al. Development of the lymphoedema genito-urinary cancer questionnaire. Br J Nurs.</w:t>
      </w:r>
      <w:r>
        <w:rPr>
          <w:spacing w:val="-4"/>
          <w:sz w:val="24"/>
        </w:rPr>
        <w:t xml:space="preserve"> </w:t>
      </w:r>
      <w:r>
        <w:rPr>
          <w:sz w:val="24"/>
        </w:rPr>
        <w:t>2014;23:S14-S19.</w:t>
      </w:r>
    </w:p>
    <w:p w14:paraId="5B3B6F13" w14:textId="77777777" w:rsidR="00BE015C" w:rsidRDefault="00BE015C" w:rsidP="00BE015C">
      <w:pPr>
        <w:pStyle w:val="ListParagraph"/>
        <w:numPr>
          <w:ilvl w:val="0"/>
          <w:numId w:val="1"/>
        </w:numPr>
        <w:tabs>
          <w:tab w:val="left" w:pos="839"/>
          <w:tab w:val="left" w:pos="840"/>
        </w:tabs>
        <w:ind w:right="813"/>
        <w:rPr>
          <w:sz w:val="24"/>
        </w:rPr>
      </w:pPr>
      <w:r>
        <w:rPr>
          <w:sz w:val="24"/>
        </w:rPr>
        <w:t>Noble‐Jones R, Thomas MJ, Bose P. The Lymphoedema Genitourinary Cancer Questionnaire in urology follow‐up clinics. Int J Urol Nurs.</w:t>
      </w:r>
      <w:r>
        <w:rPr>
          <w:spacing w:val="-11"/>
          <w:sz w:val="24"/>
        </w:rPr>
        <w:t xml:space="preserve"> </w:t>
      </w:r>
      <w:r>
        <w:rPr>
          <w:sz w:val="24"/>
        </w:rPr>
        <w:t>2019;13(1):5-12.</w:t>
      </w:r>
    </w:p>
    <w:p w14:paraId="12211C26" w14:textId="77777777" w:rsidR="00BE015C" w:rsidRDefault="00BE015C" w:rsidP="00BE015C">
      <w:pPr>
        <w:pStyle w:val="ListParagraph"/>
        <w:numPr>
          <w:ilvl w:val="0"/>
          <w:numId w:val="1"/>
        </w:numPr>
        <w:tabs>
          <w:tab w:val="left" w:pos="839"/>
          <w:tab w:val="left" w:pos="840"/>
        </w:tabs>
        <w:spacing w:before="1"/>
        <w:ind w:right="153"/>
        <w:rPr>
          <w:sz w:val="24"/>
        </w:rPr>
      </w:pPr>
      <w:r>
        <w:rPr>
          <w:sz w:val="24"/>
        </w:rPr>
        <w:t>Norman SA, Miller LT, Erikson HB, et al. Development and validation of a telephone questionnaire to characterize lymphedema in women treated for breast cancer. Phys Ther.</w:t>
      </w:r>
      <w:r>
        <w:rPr>
          <w:spacing w:val="-1"/>
          <w:sz w:val="24"/>
        </w:rPr>
        <w:t xml:space="preserve"> </w:t>
      </w:r>
      <w:r>
        <w:rPr>
          <w:sz w:val="24"/>
        </w:rPr>
        <w:t>2001;81(6):1192-1205.</w:t>
      </w:r>
    </w:p>
    <w:p w14:paraId="1B419508" w14:textId="77777777" w:rsidR="00BE015C" w:rsidRDefault="00BE015C" w:rsidP="00BE015C">
      <w:pPr>
        <w:pStyle w:val="ListParagraph"/>
        <w:numPr>
          <w:ilvl w:val="0"/>
          <w:numId w:val="1"/>
        </w:numPr>
        <w:tabs>
          <w:tab w:val="left" w:pos="839"/>
          <w:tab w:val="left" w:pos="840"/>
        </w:tabs>
        <w:ind w:right="269"/>
        <w:rPr>
          <w:sz w:val="24"/>
        </w:rPr>
      </w:pPr>
      <w:r>
        <w:rPr>
          <w:sz w:val="24"/>
        </w:rPr>
        <w:t>Novackova M, Halaska MJ, Robova H, et al. A prospective study in detection of lower-limb lymphedema and evaluation of quality of life after vulvar cancer surgery. Int J Gynecol Cancer. 2012</w:t>
      </w:r>
      <w:r>
        <w:rPr>
          <w:spacing w:val="-1"/>
          <w:sz w:val="24"/>
        </w:rPr>
        <w:t xml:space="preserve"> </w:t>
      </w:r>
      <w:r>
        <w:rPr>
          <w:sz w:val="24"/>
        </w:rPr>
        <w:t>July;22(6):1081-1088.</w:t>
      </w:r>
    </w:p>
    <w:p w14:paraId="3DFF025D" w14:textId="77777777" w:rsidR="00BE015C" w:rsidRDefault="00BE015C" w:rsidP="00BE015C">
      <w:pPr>
        <w:pStyle w:val="ListParagraph"/>
        <w:numPr>
          <w:ilvl w:val="0"/>
          <w:numId w:val="1"/>
        </w:numPr>
        <w:tabs>
          <w:tab w:val="left" w:pos="839"/>
          <w:tab w:val="left" w:pos="840"/>
        </w:tabs>
        <w:ind w:right="281"/>
        <w:rPr>
          <w:sz w:val="24"/>
        </w:rPr>
      </w:pPr>
      <w:r>
        <w:rPr>
          <w:sz w:val="24"/>
        </w:rPr>
        <w:t>Orhan C, Uzelpasaci E, Baran E, et al. Reliability and validity of the Turkish version of the lymphedema life impact scale in patients with breast-cancer related lymphedema [Meme kanserine bagli lenfodemi olan hastalarda Turkce Lenfodem Yasam Etki Olcegi'nin gecerlik ve guvenilirligi.]. Fizyoterapi rehabilitasyon. 2018 August;29</w:t>
      </w:r>
      <w:r>
        <w:rPr>
          <w:spacing w:val="-1"/>
          <w:sz w:val="24"/>
        </w:rPr>
        <w:t xml:space="preserve"> </w:t>
      </w:r>
      <w:r>
        <w:rPr>
          <w:sz w:val="24"/>
        </w:rPr>
        <w:t>(2):S42.</w:t>
      </w:r>
    </w:p>
    <w:p w14:paraId="7B0A74EF" w14:textId="77777777" w:rsidR="00BE015C" w:rsidRDefault="00BE015C" w:rsidP="00BE015C">
      <w:pPr>
        <w:pStyle w:val="ListParagraph"/>
        <w:numPr>
          <w:ilvl w:val="0"/>
          <w:numId w:val="1"/>
        </w:numPr>
        <w:tabs>
          <w:tab w:val="left" w:pos="839"/>
          <w:tab w:val="left" w:pos="840"/>
        </w:tabs>
        <w:ind w:right="259"/>
        <w:rPr>
          <w:sz w:val="24"/>
        </w:rPr>
      </w:pPr>
      <w:r>
        <w:rPr>
          <w:sz w:val="24"/>
        </w:rPr>
        <w:t>Queija DDS, Arakawa-Sugueno L, Chamma BM, et al. Translation and adaptation to Brazilian Portuguese of the Lymphedema Rating Scale in Head and Neck Cancer. Einstein (Sao Paulo, Brazil).</w:t>
      </w:r>
      <w:r>
        <w:rPr>
          <w:spacing w:val="-1"/>
          <w:sz w:val="24"/>
        </w:rPr>
        <w:t xml:space="preserve"> </w:t>
      </w:r>
      <w:r>
        <w:rPr>
          <w:sz w:val="24"/>
        </w:rPr>
        <w:t>2017;15(4):457-464.</w:t>
      </w:r>
    </w:p>
    <w:p w14:paraId="5B34FC25" w14:textId="77777777" w:rsidR="00BE015C" w:rsidRDefault="00BE015C" w:rsidP="00BE015C">
      <w:pPr>
        <w:pStyle w:val="ListParagraph"/>
        <w:numPr>
          <w:ilvl w:val="0"/>
          <w:numId w:val="1"/>
        </w:numPr>
        <w:tabs>
          <w:tab w:val="left" w:pos="839"/>
          <w:tab w:val="left" w:pos="840"/>
        </w:tabs>
        <w:ind w:right="226"/>
        <w:rPr>
          <w:sz w:val="24"/>
        </w:rPr>
      </w:pPr>
      <w:r>
        <w:rPr>
          <w:sz w:val="24"/>
        </w:rPr>
        <w:t>Queija DDS, Arakawa-Sugueno L, Chamma BM, et al. Translation and adaptation of the Radiotherapy Edema Rating Scale to Brazilian Portuguese [Traducao e adaptacao para o portugues brasileiro da Escala de Classificacao do Edema da Radioterapia.]. Braz J Otorhinolaryngol. 2018 May -</w:t>
      </w:r>
      <w:r>
        <w:rPr>
          <w:spacing w:val="-2"/>
          <w:sz w:val="24"/>
        </w:rPr>
        <w:t xml:space="preserve"> </w:t>
      </w:r>
      <w:r>
        <w:rPr>
          <w:sz w:val="24"/>
        </w:rPr>
        <w:t>June;84(3):344-350.</w:t>
      </w:r>
    </w:p>
    <w:p w14:paraId="1AB9F315" w14:textId="77777777" w:rsidR="00BE015C" w:rsidRDefault="00BE015C" w:rsidP="00BE015C">
      <w:pPr>
        <w:pStyle w:val="ListParagraph"/>
        <w:numPr>
          <w:ilvl w:val="0"/>
          <w:numId w:val="1"/>
        </w:numPr>
        <w:tabs>
          <w:tab w:val="left" w:pos="839"/>
          <w:tab w:val="left" w:pos="840"/>
        </w:tabs>
        <w:ind w:right="304"/>
        <w:rPr>
          <w:sz w:val="24"/>
        </w:rPr>
      </w:pPr>
      <w:r>
        <w:rPr>
          <w:sz w:val="24"/>
        </w:rPr>
        <w:t>Ridner SH, Montgomery LD, Hepworth JT, et al. Comparison of upper limb volume measurement techniques and arm symptoms between healthy volunteers and individuals with known lymphedema. Lymphology. 2007</w:t>
      </w:r>
      <w:r>
        <w:rPr>
          <w:spacing w:val="-4"/>
          <w:sz w:val="24"/>
        </w:rPr>
        <w:t xml:space="preserve"> </w:t>
      </w:r>
      <w:r>
        <w:rPr>
          <w:sz w:val="24"/>
        </w:rPr>
        <w:t>March;40(1):35-46.</w:t>
      </w:r>
    </w:p>
    <w:p w14:paraId="6AAF25B9" w14:textId="77777777" w:rsidR="00BE015C" w:rsidRDefault="00BE015C" w:rsidP="00BE015C">
      <w:pPr>
        <w:pStyle w:val="ListParagraph"/>
        <w:numPr>
          <w:ilvl w:val="0"/>
          <w:numId w:val="1"/>
        </w:numPr>
        <w:tabs>
          <w:tab w:val="left" w:pos="839"/>
          <w:tab w:val="left" w:pos="840"/>
        </w:tabs>
        <w:ind w:right="425"/>
        <w:rPr>
          <w:sz w:val="24"/>
        </w:rPr>
      </w:pPr>
      <w:r>
        <w:rPr>
          <w:sz w:val="24"/>
        </w:rPr>
        <w:t>Ridner SH, Dietrich MS. Development of the lymphedema symptoms intensity and distress survey arm. J Clin Oncol. 2010;28(15 SUPPL.</w:t>
      </w:r>
      <w:r>
        <w:rPr>
          <w:spacing w:val="-2"/>
          <w:sz w:val="24"/>
        </w:rPr>
        <w:t xml:space="preserve"> </w:t>
      </w:r>
      <w:r>
        <w:rPr>
          <w:sz w:val="24"/>
        </w:rPr>
        <w:t>1).</w:t>
      </w:r>
    </w:p>
    <w:p w14:paraId="5C4713C8" w14:textId="77777777" w:rsidR="00BE015C" w:rsidRDefault="00BE015C" w:rsidP="00BE015C">
      <w:pPr>
        <w:pStyle w:val="ListParagraph"/>
        <w:numPr>
          <w:ilvl w:val="0"/>
          <w:numId w:val="1"/>
        </w:numPr>
        <w:tabs>
          <w:tab w:val="left" w:pos="839"/>
          <w:tab w:val="left" w:pos="840"/>
        </w:tabs>
        <w:ind w:right="407"/>
        <w:rPr>
          <w:sz w:val="24"/>
        </w:rPr>
      </w:pPr>
      <w:r>
        <w:rPr>
          <w:sz w:val="24"/>
        </w:rPr>
        <w:t>Shamley D, Robb K. An early warning surveillance programme for detecting upper limb deterioration after treatment for breast cancer: A novel technology supported system. BMC Cancer. 2015 September 15;15 (1) (no</w:t>
      </w:r>
      <w:r>
        <w:rPr>
          <w:spacing w:val="-6"/>
          <w:sz w:val="24"/>
        </w:rPr>
        <w:t xml:space="preserve"> </w:t>
      </w:r>
      <w:r>
        <w:rPr>
          <w:sz w:val="24"/>
        </w:rPr>
        <w:t>pagination)(635).</w:t>
      </w:r>
    </w:p>
    <w:p w14:paraId="2DCEB6E0" w14:textId="77777777" w:rsidR="00BE015C" w:rsidRDefault="00BE015C" w:rsidP="00BE015C">
      <w:pPr>
        <w:pStyle w:val="ListParagraph"/>
        <w:numPr>
          <w:ilvl w:val="0"/>
          <w:numId w:val="1"/>
        </w:numPr>
        <w:tabs>
          <w:tab w:val="left" w:pos="839"/>
          <w:tab w:val="left" w:pos="840"/>
        </w:tabs>
        <w:ind w:right="358"/>
        <w:rPr>
          <w:sz w:val="24"/>
        </w:rPr>
      </w:pPr>
      <w:r>
        <w:rPr>
          <w:sz w:val="24"/>
        </w:rPr>
        <w:t>Sierla R, Lee TSM, Black D, et al. Lymphedema Following Breast Cancer: Regions Affected, Severity of Symptoms, and Benefitsof Treatment From the Patients' Perspective. Clin J Oncol Nurs.</w:t>
      </w:r>
      <w:r>
        <w:rPr>
          <w:spacing w:val="1"/>
          <w:sz w:val="24"/>
        </w:rPr>
        <w:t xml:space="preserve"> </w:t>
      </w:r>
      <w:r>
        <w:rPr>
          <w:sz w:val="24"/>
        </w:rPr>
        <w:t>2013;17(3):325-331.</w:t>
      </w:r>
    </w:p>
    <w:p w14:paraId="6E4A7355" w14:textId="77777777" w:rsidR="00BE015C" w:rsidRDefault="00BE015C" w:rsidP="00BE015C">
      <w:pPr>
        <w:pStyle w:val="ListParagraph"/>
        <w:numPr>
          <w:ilvl w:val="0"/>
          <w:numId w:val="1"/>
        </w:numPr>
        <w:tabs>
          <w:tab w:val="left" w:pos="839"/>
          <w:tab w:val="left" w:pos="840"/>
        </w:tabs>
        <w:ind w:right="184"/>
        <w:rPr>
          <w:sz w:val="24"/>
        </w:rPr>
      </w:pPr>
      <w:r>
        <w:rPr>
          <w:sz w:val="24"/>
        </w:rPr>
        <w:t>Smith MJ, Gill PG, Wetzig N, et al. Comparing patients' and clinicians' assessment of outcomes in a randomised trial of sentinel node biopsy for breast cancer (the RACS SNAC trial). Breast Cancer Res Treat. 2009</w:t>
      </w:r>
      <w:r>
        <w:rPr>
          <w:spacing w:val="-4"/>
          <w:sz w:val="24"/>
        </w:rPr>
        <w:t xml:space="preserve"> </w:t>
      </w:r>
      <w:r>
        <w:rPr>
          <w:sz w:val="24"/>
        </w:rPr>
        <w:t>Sep;117(1):99-109.</w:t>
      </w:r>
    </w:p>
    <w:p w14:paraId="39377A6B" w14:textId="77777777" w:rsidR="00BE015C" w:rsidRDefault="00BE015C" w:rsidP="00BE015C">
      <w:pPr>
        <w:pStyle w:val="ListParagraph"/>
        <w:numPr>
          <w:ilvl w:val="0"/>
          <w:numId w:val="1"/>
        </w:numPr>
        <w:tabs>
          <w:tab w:val="left" w:pos="839"/>
          <w:tab w:val="left" w:pos="840"/>
        </w:tabs>
        <w:ind w:right="136"/>
        <w:rPr>
          <w:sz w:val="24"/>
        </w:rPr>
      </w:pPr>
      <w:r>
        <w:rPr>
          <w:sz w:val="24"/>
        </w:rPr>
        <w:t>Spinelli B, Kallan MJ, Zhang X, et al. Intra- and Interrater Reliability and Concurrent Validity of a New Tool for Assessment of Breast Cancer–Related Lymphedema of the Upper Extremity. Arch Phys Med Rehabil.</w:t>
      </w:r>
      <w:r>
        <w:rPr>
          <w:spacing w:val="-3"/>
          <w:sz w:val="24"/>
        </w:rPr>
        <w:t xml:space="preserve"> </w:t>
      </w:r>
      <w:r>
        <w:rPr>
          <w:sz w:val="24"/>
        </w:rPr>
        <w:t>2019;100(2):315-326.</w:t>
      </w:r>
    </w:p>
    <w:p w14:paraId="20601C23" w14:textId="77777777" w:rsidR="00BE015C" w:rsidRDefault="00BE015C" w:rsidP="00BE015C">
      <w:pPr>
        <w:pStyle w:val="ListParagraph"/>
        <w:numPr>
          <w:ilvl w:val="0"/>
          <w:numId w:val="1"/>
        </w:numPr>
        <w:tabs>
          <w:tab w:val="left" w:pos="839"/>
          <w:tab w:val="left" w:pos="840"/>
        </w:tabs>
        <w:ind w:right="496"/>
        <w:rPr>
          <w:sz w:val="24"/>
        </w:rPr>
      </w:pPr>
      <w:r>
        <w:rPr>
          <w:sz w:val="24"/>
        </w:rPr>
        <w:t>Stanton MC, Mkwanda SZ, Yamauchi M, et al. Measuring the impact of lymphoedema on patient mobility using GPS data loggers: A case-control study of patients in Chikwawa, Malawi. Am J Trop Med Hyg. 2015 October;93 (4 Supplement):193-194.</w:t>
      </w:r>
    </w:p>
    <w:p w14:paraId="22242636" w14:textId="77777777" w:rsidR="00BE015C" w:rsidRDefault="00BE015C" w:rsidP="00BE015C">
      <w:pPr>
        <w:pStyle w:val="ListParagraph"/>
        <w:numPr>
          <w:ilvl w:val="0"/>
          <w:numId w:val="1"/>
        </w:numPr>
        <w:tabs>
          <w:tab w:val="left" w:pos="839"/>
          <w:tab w:val="left" w:pos="840"/>
        </w:tabs>
        <w:ind w:right="302"/>
        <w:rPr>
          <w:sz w:val="24"/>
        </w:rPr>
      </w:pPr>
      <w:r>
        <w:rPr>
          <w:sz w:val="24"/>
        </w:rPr>
        <w:t>Stanton MC, Mkwanda SZ, Debrah AY, et al. Developing a community-led SMS reporting tool for the rapid assessment of lymphatic filariasis morbidity burden: case studies from Malawi and Ghana. BMC Infect Dis. 2015 May</w:t>
      </w:r>
      <w:r>
        <w:rPr>
          <w:spacing w:val="-1"/>
          <w:sz w:val="24"/>
        </w:rPr>
        <w:t xml:space="preserve"> </w:t>
      </w:r>
      <w:r>
        <w:rPr>
          <w:sz w:val="24"/>
        </w:rPr>
        <w:t>16;15:214.</w:t>
      </w:r>
    </w:p>
    <w:p w14:paraId="5FDAA1A2" w14:textId="77777777" w:rsidR="00BE015C" w:rsidRDefault="00BE015C" w:rsidP="00BE015C">
      <w:pPr>
        <w:pStyle w:val="ListParagraph"/>
        <w:numPr>
          <w:ilvl w:val="0"/>
          <w:numId w:val="1"/>
        </w:numPr>
        <w:tabs>
          <w:tab w:val="left" w:pos="839"/>
          <w:tab w:val="left" w:pos="840"/>
        </w:tabs>
        <w:spacing w:before="1"/>
        <w:ind w:right="309"/>
        <w:rPr>
          <w:sz w:val="24"/>
        </w:rPr>
      </w:pPr>
      <w:r>
        <w:rPr>
          <w:sz w:val="24"/>
        </w:rPr>
        <w:t>Thomas C, Bose KS, Narahari SR, et al. Performance comparison of three quality of life instruments in lymphatic filariasis patients. Am J Trop Med Hyg. 2013 November;1):316.</w:t>
      </w:r>
    </w:p>
    <w:p w14:paraId="6177B0A5" w14:textId="77777777" w:rsidR="00BE015C" w:rsidRDefault="00BE015C" w:rsidP="00BE015C">
      <w:pPr>
        <w:rPr>
          <w:sz w:val="24"/>
        </w:rPr>
        <w:sectPr w:rsidR="00BE015C">
          <w:pgSz w:w="11910" w:h="16840"/>
          <w:pgMar w:top="1360" w:right="1320" w:bottom="1780" w:left="1320" w:header="0" w:footer="1563" w:gutter="0"/>
          <w:cols w:space="720"/>
        </w:sectPr>
      </w:pPr>
    </w:p>
    <w:p w14:paraId="47C0A041" w14:textId="77777777" w:rsidR="00BE015C" w:rsidRDefault="00BE015C" w:rsidP="00BE015C">
      <w:pPr>
        <w:pStyle w:val="ListParagraph"/>
        <w:numPr>
          <w:ilvl w:val="0"/>
          <w:numId w:val="1"/>
        </w:numPr>
        <w:tabs>
          <w:tab w:val="left" w:pos="839"/>
          <w:tab w:val="left" w:pos="840"/>
        </w:tabs>
        <w:spacing w:before="60"/>
        <w:ind w:right="452"/>
        <w:rPr>
          <w:sz w:val="24"/>
        </w:rPr>
      </w:pPr>
      <w:r>
        <w:rPr>
          <w:sz w:val="24"/>
        </w:rPr>
        <w:lastRenderedPageBreak/>
        <w:t>Thomas C, Narahari SR, Bose KS, et al. Comparison of three quality of life instruments in lymphatic filariasis: DLQI, WHODAS 2.0, and LFSQQ. PLoS Negl Trop Dis. 2014</w:t>
      </w:r>
      <w:r>
        <w:rPr>
          <w:spacing w:val="-1"/>
          <w:sz w:val="24"/>
        </w:rPr>
        <w:t xml:space="preserve"> </w:t>
      </w:r>
      <w:r>
        <w:rPr>
          <w:sz w:val="24"/>
        </w:rPr>
        <w:t>Feb;8(2):e2716.</w:t>
      </w:r>
    </w:p>
    <w:p w14:paraId="43D0B02F" w14:textId="77777777" w:rsidR="00BE015C" w:rsidRDefault="00BE015C" w:rsidP="00BE015C">
      <w:pPr>
        <w:pStyle w:val="ListParagraph"/>
        <w:numPr>
          <w:ilvl w:val="0"/>
          <w:numId w:val="1"/>
        </w:numPr>
        <w:tabs>
          <w:tab w:val="left" w:pos="839"/>
          <w:tab w:val="left" w:pos="840"/>
        </w:tabs>
        <w:spacing w:before="1"/>
        <w:ind w:right="128"/>
        <w:rPr>
          <w:sz w:val="24"/>
        </w:rPr>
      </w:pPr>
      <w:r>
        <w:rPr>
          <w:sz w:val="24"/>
        </w:rPr>
        <w:t>Tsuchiya M. Development of the Arm Lymphoedema Physical Discomfort Scale: Validity and reliability testing with Japanese breast cancer survivors. Japanese Journal of Health Psychology.</w:t>
      </w:r>
      <w:r>
        <w:rPr>
          <w:spacing w:val="-2"/>
          <w:sz w:val="24"/>
        </w:rPr>
        <w:t xml:space="preserve"> </w:t>
      </w:r>
      <w:r>
        <w:rPr>
          <w:sz w:val="24"/>
        </w:rPr>
        <w:t>2012;25(1):74-82.</w:t>
      </w:r>
    </w:p>
    <w:p w14:paraId="3803DB5C" w14:textId="77777777" w:rsidR="00BE015C" w:rsidRDefault="00BE015C" w:rsidP="00BE015C">
      <w:pPr>
        <w:pStyle w:val="ListParagraph"/>
        <w:numPr>
          <w:ilvl w:val="0"/>
          <w:numId w:val="1"/>
        </w:numPr>
        <w:tabs>
          <w:tab w:val="left" w:pos="839"/>
          <w:tab w:val="left" w:pos="840"/>
        </w:tabs>
        <w:ind w:right="315"/>
        <w:rPr>
          <w:sz w:val="24"/>
        </w:rPr>
      </w:pPr>
      <w:r>
        <w:rPr>
          <w:sz w:val="24"/>
        </w:rPr>
        <w:t>Wilson RW, Hutson LM, VanStry D. Comparison of 2 quality-of-life questionnaires in women treated for breast cancer: the RAND 36-Item Health Survey and the Functional Living Index-Cancer. Phys Ther.</w:t>
      </w:r>
      <w:r>
        <w:rPr>
          <w:spacing w:val="-1"/>
          <w:sz w:val="24"/>
        </w:rPr>
        <w:t xml:space="preserve"> </w:t>
      </w:r>
      <w:r>
        <w:rPr>
          <w:sz w:val="24"/>
        </w:rPr>
        <w:t>2005;85(9):851-860.</w:t>
      </w:r>
    </w:p>
    <w:p w14:paraId="07031B90" w14:textId="77777777" w:rsidR="00BE015C" w:rsidRDefault="00BE015C" w:rsidP="00BE015C">
      <w:pPr>
        <w:pStyle w:val="ListParagraph"/>
        <w:numPr>
          <w:ilvl w:val="0"/>
          <w:numId w:val="1"/>
        </w:numPr>
        <w:tabs>
          <w:tab w:val="left" w:pos="839"/>
          <w:tab w:val="left" w:pos="840"/>
        </w:tabs>
        <w:ind w:right="505"/>
        <w:rPr>
          <w:sz w:val="24"/>
        </w:rPr>
      </w:pPr>
      <w:r>
        <w:rPr>
          <w:sz w:val="24"/>
        </w:rPr>
        <w:t>Yamamoto T, Yamamoto N, Furuya M, et al. Genital lymphedema score: Genital Lymphedema Severity Scoring System Based on Subjective Symptoms. Ann Plast Surg.</w:t>
      </w:r>
      <w:r>
        <w:rPr>
          <w:spacing w:val="-1"/>
          <w:sz w:val="24"/>
        </w:rPr>
        <w:t xml:space="preserve"> </w:t>
      </w:r>
      <w:r>
        <w:rPr>
          <w:sz w:val="24"/>
        </w:rPr>
        <w:t>2016;77(1):119-121.</w:t>
      </w:r>
    </w:p>
    <w:p w14:paraId="1D450D33" w14:textId="77777777" w:rsidR="00BE015C" w:rsidRDefault="00BE015C" w:rsidP="00BE015C">
      <w:pPr>
        <w:pStyle w:val="ListParagraph"/>
        <w:numPr>
          <w:ilvl w:val="0"/>
          <w:numId w:val="1"/>
        </w:numPr>
        <w:tabs>
          <w:tab w:val="left" w:pos="839"/>
          <w:tab w:val="left" w:pos="840"/>
        </w:tabs>
        <w:ind w:right="533"/>
        <w:rPr>
          <w:sz w:val="24"/>
        </w:rPr>
      </w:pPr>
      <w:r>
        <w:rPr>
          <w:sz w:val="24"/>
        </w:rPr>
        <w:t>Yost K, Cheville A, Weaver A, et al. Development and validation of a self-report lower-extremity lymphedema screening questionnaire in women. Phys Ther. 2013 May;93(5):694-703.</w:t>
      </w:r>
    </w:p>
    <w:p w14:paraId="7D18259B" w14:textId="77777777" w:rsidR="00BE015C" w:rsidRDefault="00BE015C" w:rsidP="00BE015C">
      <w:pPr>
        <w:pStyle w:val="ListParagraph"/>
        <w:numPr>
          <w:ilvl w:val="0"/>
          <w:numId w:val="1"/>
        </w:numPr>
        <w:tabs>
          <w:tab w:val="left" w:pos="840"/>
        </w:tabs>
        <w:ind w:right="476"/>
        <w:jc w:val="both"/>
        <w:rPr>
          <w:sz w:val="24"/>
        </w:rPr>
      </w:pPr>
      <w:r>
        <w:rPr>
          <w:sz w:val="24"/>
        </w:rPr>
        <w:t>Zeldenryk L, Gray M, Gordon S, et al. The development of the lymphatic filariasis quality of life tool Bangladesh (LF-QOL Bangladesh). Am J Trop Med Hyg. 2013 November;1):431.</w:t>
      </w:r>
    </w:p>
    <w:p w14:paraId="2267A179" w14:textId="77777777" w:rsidR="00BE015C" w:rsidRDefault="00BE015C" w:rsidP="00BE015C">
      <w:pPr>
        <w:pStyle w:val="ListParagraph"/>
        <w:numPr>
          <w:ilvl w:val="0"/>
          <w:numId w:val="1"/>
        </w:numPr>
        <w:tabs>
          <w:tab w:val="left" w:pos="839"/>
          <w:tab w:val="left" w:pos="840"/>
        </w:tabs>
        <w:ind w:right="288"/>
        <w:rPr>
          <w:sz w:val="24"/>
        </w:rPr>
      </w:pPr>
      <w:r>
        <w:rPr>
          <w:sz w:val="24"/>
        </w:rPr>
        <w:t>Zeldenryk L, Gordon S, Gray M, et al. Cognitive testing of the WHOQOL-BREF Bangladesh tool in a northern rural Bangladeshi population with lymphatic filariasis. Qual Life Res. 2013</w:t>
      </w:r>
      <w:r>
        <w:rPr>
          <w:spacing w:val="-2"/>
          <w:sz w:val="24"/>
        </w:rPr>
        <w:t xml:space="preserve"> </w:t>
      </w:r>
      <w:r>
        <w:rPr>
          <w:sz w:val="24"/>
        </w:rPr>
        <w:t>Oct;22(8):1917-26.</w:t>
      </w:r>
    </w:p>
    <w:p w14:paraId="7CAA63AA" w14:textId="77777777" w:rsidR="00BE015C" w:rsidRDefault="00BE015C" w:rsidP="00BE015C">
      <w:pPr>
        <w:pStyle w:val="ListParagraph"/>
        <w:numPr>
          <w:ilvl w:val="0"/>
          <w:numId w:val="1"/>
        </w:numPr>
        <w:tabs>
          <w:tab w:val="left" w:pos="839"/>
          <w:tab w:val="left" w:pos="840"/>
        </w:tabs>
        <w:ind w:right="149"/>
        <w:rPr>
          <w:sz w:val="24"/>
        </w:rPr>
      </w:pPr>
      <w:r>
        <w:rPr>
          <w:sz w:val="24"/>
        </w:rPr>
        <w:t>Zeldenryk L, Gray M, Gordon S, et al. The use of focus groups to develop a culturally relevant quality of life tool for lymphatic filariasis in Bangladesh. Qual Life Res. 2014</w:t>
      </w:r>
      <w:r>
        <w:rPr>
          <w:spacing w:val="-1"/>
          <w:sz w:val="24"/>
        </w:rPr>
        <w:t xml:space="preserve"> </w:t>
      </w:r>
      <w:r>
        <w:rPr>
          <w:sz w:val="24"/>
        </w:rPr>
        <w:t>Feb;23(1):299-309.</w:t>
      </w:r>
    </w:p>
    <w:p w14:paraId="7EB1D368" w14:textId="2B3027DC" w:rsidR="00C70E8D" w:rsidRPr="00BE015C" w:rsidRDefault="00C70E8D" w:rsidP="00BE015C"/>
    <w:sectPr w:rsidR="00C70E8D" w:rsidRPr="00BE015C" w:rsidSect="00F6246D">
      <w:type w:val="continuous"/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045902" w14:textId="77777777" w:rsidR="00BE560F" w:rsidRDefault="00BE560F" w:rsidP="002B07A5">
      <w:r>
        <w:separator/>
      </w:r>
    </w:p>
  </w:endnote>
  <w:endnote w:type="continuationSeparator" w:id="0">
    <w:p w14:paraId="424FBCF5" w14:textId="77777777" w:rsidR="00BE560F" w:rsidRDefault="00BE560F" w:rsidP="002B07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6DC330" w14:textId="445F1935" w:rsidR="00E313AF" w:rsidRDefault="00BE015C">
    <w:pPr>
      <w:pStyle w:val="BodyText"/>
      <w:spacing w:line="14" w:lineRule="auto"/>
      <w:rPr>
        <w:sz w:val="20"/>
      </w:rPr>
    </w:pPr>
    <w:r>
      <w:rPr>
        <w:noProof/>
        <w:lang w:val="en-IN" w:eastAsia="en-IN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FBE6041" wp14:editId="3D74C966">
              <wp:simplePos x="0" y="0"/>
              <wp:positionH relativeFrom="page">
                <wp:posOffset>3627120</wp:posOffset>
              </wp:positionH>
              <wp:positionV relativeFrom="page">
                <wp:posOffset>9507855</wp:posOffset>
              </wp:positionV>
              <wp:extent cx="304800" cy="19621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4800" cy="1962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57F5BE1" w14:textId="77777777" w:rsidR="00E313AF" w:rsidRDefault="00DB327E">
                          <w:pPr>
                            <w:pStyle w:val="BodyText"/>
                            <w:spacing w:before="12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501F0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85.6pt;margin-top:748.65pt;width:24pt;height:15.4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2AwqwIAAKgFAAAOAAAAZHJzL2Uyb0RvYy54bWysVG1vmzAQ/j5p/8Hyd4qhJA2opGpDmCZ1&#10;L1K7H+CACdbAZrYT6Kb9951NSJNWk6ZtfLDO9vm55+4e7vpmaBu0Z0pzKVIcXBCMmChkycU2xV8e&#10;c2+BkTZUlLSRgqX4iWl8s3z75rrvEhbKWjYlUwhAhE76LsW1MV3i+7qoWUv1heyYgMtKqpYa2Kqt&#10;XyraA3rb+CEhc7+XquyULJjWcJqNl3jp8KuKFeZTVWlmUJNi4Gbcqty6sau/vKbJVtGu5sWBBv0L&#10;Fi3lAoIeoTJqKNop/gqq5YWSWlbmopCtL6uKF8zlANkE5EU2DzXtmMsFiqO7Y5n0/4MtPu4/K8RL&#10;6B1GgrbQokc2GHQnBxTY6vSdTsDpoQM3M8Cx9bSZ6u5eFl81EnJVU7Flt0rJvma0BHbupX/ydMTR&#10;FmTTf5AlhKE7Ix3QUKnWAkIxEKBDl56OnbFUCji8JNGCwE0BV0E8D4OZ5ebTZHrcKW3eMdkia6RY&#10;QeMdON3fazO6Ti42lpA5bxrX/EacHQDmeAKh4am9syRcL3/EJF4v1ovIi8L52otIlnm3+Sry5nlw&#10;Ncsus9UqC37auEGU1LwsmbBhJl0F0Z/17aDwURFHZWnZ8NLCWUpabTerRqE9BV3n7jsU5MTNP6fh&#10;6gW5vEgpCCNyF8ZePl9ceVEezbz4iiw8EsR38ZxEcZTl5yndc8H+PSXUpziehbNRS7/NjbjvdW40&#10;abmBydHwNsUgDfisE02sAteidLahvBntk1JY+s+lgHZPjXZ6tRIdxWqGzQAoVsQbWT6BcpUEZYEI&#10;YdyBUUv1HaMeRkeK9bcdVQyj5r0A9ds5MxlqMjaTQUUBT1NsMBrNlRnn0a5TfFsD8vh/CXkLf0jF&#10;nXqfWQB1u4Fx4JI4jC47b073zut5wC5/AQAA//8DAFBLAwQUAAYACAAAACEAYy7lU+IAAAANAQAA&#10;DwAAAGRycy9kb3ducmV2LnhtbEyPwU7DMBBE70j8g7VI3KiTQNMmjVNVCE5IiDQcenRiN7Ear0Ps&#10;tuHvWU5w3Jmn2ZliO9uBXfTkjUMB8SICprF1ymAn4LN+fVgD80GikoNDLeBbe9iWtzeFzJW7YqUv&#10;+9AxCkGfSwF9CGPOuW97baVfuFEjeUc3WRnonDquJnmlcDvwJIpSbqVB+tDLUT/3uj3tz1bA7oDV&#10;i/l6bz6qY2XqOovwLT0JcX837zbAgp7DHwy/9ak6lNSpcWdUng0Clqs4IZSMp2z1CIyQNM5Iakha&#10;JusEeFnw/yvKHwAAAP//AwBQSwECLQAUAAYACAAAACEAtoM4kv4AAADhAQAAEwAAAAAAAAAAAAAA&#10;AAAAAAAAW0NvbnRlbnRfVHlwZXNdLnhtbFBLAQItABQABgAIAAAAIQA4/SH/1gAAAJQBAAALAAAA&#10;AAAAAAAAAAAAAC8BAABfcmVscy8ucmVsc1BLAQItABQABgAIAAAAIQAwS2AwqwIAAKgFAAAOAAAA&#10;AAAAAAAAAAAAAC4CAABkcnMvZTJvRG9jLnhtbFBLAQItABQABgAIAAAAIQBjLuVT4gAAAA0BAAAP&#10;AAAAAAAAAAAAAAAAAAUFAABkcnMvZG93bnJldi54bWxQSwUGAAAAAAQABADzAAAAFAYAAAAA&#10;" filled="f" stroked="f">
              <v:textbox inset="0,0,0,0">
                <w:txbxContent>
                  <w:p w14:paraId="357F5BE1" w14:textId="77777777" w:rsidR="00E313AF" w:rsidRDefault="00DB327E">
                    <w:pPr>
                      <w:pStyle w:val="BodyText"/>
                      <w:spacing w:before="12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9501F0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B6B0B9" w14:textId="77777777" w:rsidR="00BE560F" w:rsidRDefault="00BE560F" w:rsidP="002B07A5">
      <w:r>
        <w:separator/>
      </w:r>
    </w:p>
  </w:footnote>
  <w:footnote w:type="continuationSeparator" w:id="0">
    <w:p w14:paraId="7EE45631" w14:textId="77777777" w:rsidR="00BE560F" w:rsidRDefault="00BE560F" w:rsidP="002B07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079901" w14:textId="6D04AC73" w:rsidR="002B07A5" w:rsidRPr="002B07A5" w:rsidRDefault="002B07A5">
    <w:pPr>
      <w:pStyle w:val="Header"/>
    </w:pPr>
    <w:r w:rsidRPr="002B07A5">
      <w:rPr>
        <w:b/>
        <w:sz w:val="24"/>
      </w:rPr>
      <w:t xml:space="preserve">Supplementary material </w:t>
    </w:r>
    <w:r w:rsidR="00E37F8F">
      <w:rPr>
        <w:b/>
        <w:sz w:val="24"/>
      </w:rPr>
      <w:t>3</w:t>
    </w:r>
  </w:p>
  <w:p w14:paraId="1F66FBC0" w14:textId="77777777" w:rsidR="002B07A5" w:rsidRDefault="002B07A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F76998"/>
    <w:multiLevelType w:val="hybridMultilevel"/>
    <w:tmpl w:val="5CFA6196"/>
    <w:lvl w:ilvl="0" w:tplc="55F070B8">
      <w:start w:val="1"/>
      <w:numFmt w:val="decimal"/>
      <w:lvlText w:val="%1."/>
      <w:lvlJc w:val="left"/>
      <w:pPr>
        <w:ind w:left="840" w:hanging="72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CFA450E0">
      <w:numFmt w:val="bullet"/>
      <w:lvlText w:val="•"/>
      <w:lvlJc w:val="left"/>
      <w:pPr>
        <w:ind w:left="1682" w:hanging="720"/>
      </w:pPr>
      <w:rPr>
        <w:rFonts w:hint="default"/>
      </w:rPr>
    </w:lvl>
    <w:lvl w:ilvl="2" w:tplc="355C62FE">
      <w:numFmt w:val="bullet"/>
      <w:lvlText w:val="•"/>
      <w:lvlJc w:val="left"/>
      <w:pPr>
        <w:ind w:left="2525" w:hanging="720"/>
      </w:pPr>
      <w:rPr>
        <w:rFonts w:hint="default"/>
      </w:rPr>
    </w:lvl>
    <w:lvl w:ilvl="3" w:tplc="3AA63AE0">
      <w:numFmt w:val="bullet"/>
      <w:lvlText w:val="•"/>
      <w:lvlJc w:val="left"/>
      <w:pPr>
        <w:ind w:left="3367" w:hanging="720"/>
      </w:pPr>
      <w:rPr>
        <w:rFonts w:hint="default"/>
      </w:rPr>
    </w:lvl>
    <w:lvl w:ilvl="4" w:tplc="0EE842DC">
      <w:numFmt w:val="bullet"/>
      <w:lvlText w:val="•"/>
      <w:lvlJc w:val="left"/>
      <w:pPr>
        <w:ind w:left="4210" w:hanging="720"/>
      </w:pPr>
      <w:rPr>
        <w:rFonts w:hint="default"/>
      </w:rPr>
    </w:lvl>
    <w:lvl w:ilvl="5" w:tplc="4FF044B8">
      <w:numFmt w:val="bullet"/>
      <w:lvlText w:val="•"/>
      <w:lvlJc w:val="left"/>
      <w:pPr>
        <w:ind w:left="5053" w:hanging="720"/>
      </w:pPr>
      <w:rPr>
        <w:rFonts w:hint="default"/>
      </w:rPr>
    </w:lvl>
    <w:lvl w:ilvl="6" w:tplc="D2C0938C">
      <w:numFmt w:val="bullet"/>
      <w:lvlText w:val="•"/>
      <w:lvlJc w:val="left"/>
      <w:pPr>
        <w:ind w:left="5895" w:hanging="720"/>
      </w:pPr>
      <w:rPr>
        <w:rFonts w:hint="default"/>
      </w:rPr>
    </w:lvl>
    <w:lvl w:ilvl="7" w:tplc="DBBA2FE8">
      <w:numFmt w:val="bullet"/>
      <w:lvlText w:val="•"/>
      <w:lvlJc w:val="left"/>
      <w:pPr>
        <w:ind w:left="6738" w:hanging="720"/>
      </w:pPr>
      <w:rPr>
        <w:rFonts w:hint="default"/>
      </w:rPr>
    </w:lvl>
    <w:lvl w:ilvl="8" w:tplc="394A2380">
      <w:numFmt w:val="bullet"/>
      <w:lvlText w:val="•"/>
      <w:lvlJc w:val="left"/>
      <w:pPr>
        <w:ind w:left="7581" w:hanging="7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hideGrammatical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0AVKmlqZmpkbmlko6SsGpxcWZ+XkgBSa1ABF1S80sAAAA"/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TF-Standard NLM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9ddarppzdt2wr4erapxvfrxer09tv9pwwfv0&quot;&gt;SRQreview_write-up_VSP_02-07-2019&lt;record-ids&gt;&lt;item&gt;7&lt;/item&gt;&lt;item&gt;9119&lt;/item&gt;&lt;item&gt;9126&lt;/item&gt;&lt;item&gt;9130&lt;/item&gt;&lt;item&gt;9134&lt;/item&gt;&lt;item&gt;9135&lt;/item&gt;&lt;item&gt;9138&lt;/item&gt;&lt;item&gt;9139&lt;/item&gt;&lt;item&gt;9140&lt;/item&gt;&lt;item&gt;9142&lt;/item&gt;&lt;item&gt;9143&lt;/item&gt;&lt;item&gt;9144&lt;/item&gt;&lt;item&gt;9145&lt;/item&gt;&lt;item&gt;9146&lt;/item&gt;&lt;item&gt;9149&lt;/item&gt;&lt;item&gt;9150&lt;/item&gt;&lt;item&gt;9151&lt;/item&gt;&lt;item&gt;9152&lt;/item&gt;&lt;item&gt;9153&lt;/item&gt;&lt;item&gt;9154&lt;/item&gt;&lt;item&gt;9155&lt;/item&gt;&lt;item&gt;9156&lt;/item&gt;&lt;item&gt;9159&lt;/item&gt;&lt;item&gt;9162&lt;/item&gt;&lt;item&gt;9163&lt;/item&gt;&lt;item&gt;9164&lt;/item&gt;&lt;item&gt;9166&lt;/item&gt;&lt;item&gt;9167&lt;/item&gt;&lt;item&gt;9168&lt;/item&gt;&lt;item&gt;9169&lt;/item&gt;&lt;item&gt;9170&lt;/item&gt;&lt;item&gt;9172&lt;/item&gt;&lt;item&gt;9174&lt;/item&gt;&lt;item&gt;9175&lt;/item&gt;&lt;item&gt;9176&lt;/item&gt;&lt;item&gt;9177&lt;/item&gt;&lt;item&gt;9178&lt;/item&gt;&lt;item&gt;9179&lt;/item&gt;&lt;item&gt;9180&lt;/item&gt;&lt;item&gt;9181&lt;/item&gt;&lt;item&gt;9182&lt;/item&gt;&lt;item&gt;9183&lt;/item&gt;&lt;item&gt;9209&lt;/item&gt;&lt;item&gt;9210&lt;/item&gt;&lt;item&gt;9211&lt;/item&gt;&lt;item&gt;9212&lt;/item&gt;&lt;item&gt;9213&lt;/item&gt;&lt;item&gt;9214&lt;/item&gt;&lt;item&gt;9215&lt;/item&gt;&lt;item&gt;9216&lt;/item&gt;&lt;item&gt;9217&lt;/item&gt;&lt;item&gt;9218&lt;/item&gt;&lt;item&gt;9449&lt;/item&gt;&lt;item&gt;9452&lt;/item&gt;&lt;item&gt;9483&lt;/item&gt;&lt;item&gt;9484&lt;/item&gt;&lt;/record-ids&gt;&lt;/item&gt;&lt;/Libraries&gt;"/>
  </w:docVars>
  <w:rsids>
    <w:rsidRoot w:val="001341F4"/>
    <w:rsid w:val="001341F4"/>
    <w:rsid w:val="0016259B"/>
    <w:rsid w:val="001A239D"/>
    <w:rsid w:val="002A7EA3"/>
    <w:rsid w:val="002B07A5"/>
    <w:rsid w:val="003B3D6F"/>
    <w:rsid w:val="00437079"/>
    <w:rsid w:val="0046159D"/>
    <w:rsid w:val="00584A9B"/>
    <w:rsid w:val="00597243"/>
    <w:rsid w:val="005C2EC5"/>
    <w:rsid w:val="005E3C2A"/>
    <w:rsid w:val="0068345E"/>
    <w:rsid w:val="008216DE"/>
    <w:rsid w:val="008D6A3F"/>
    <w:rsid w:val="009501F0"/>
    <w:rsid w:val="00B82BAD"/>
    <w:rsid w:val="00BA202D"/>
    <w:rsid w:val="00BE015C"/>
    <w:rsid w:val="00BE560F"/>
    <w:rsid w:val="00C20B48"/>
    <w:rsid w:val="00C70E8D"/>
    <w:rsid w:val="00C732D8"/>
    <w:rsid w:val="00D41596"/>
    <w:rsid w:val="00DA2ACA"/>
    <w:rsid w:val="00DB327E"/>
    <w:rsid w:val="00DB5B1A"/>
    <w:rsid w:val="00E37F8F"/>
    <w:rsid w:val="00E86061"/>
    <w:rsid w:val="00F41D6C"/>
    <w:rsid w:val="00F62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A22F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015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Heading1">
    <w:name w:val="heading 1"/>
    <w:basedOn w:val="Normal"/>
    <w:link w:val="Heading1Char"/>
    <w:uiPriority w:val="9"/>
    <w:qFormat/>
    <w:rsid w:val="00BE015C"/>
    <w:pPr>
      <w:ind w:left="120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NoteBibliographyTitle">
    <w:name w:val="EndNote Bibliography Title"/>
    <w:basedOn w:val="Normal"/>
    <w:link w:val="EndNoteBibliographyTitleChar"/>
    <w:rsid w:val="00C20B48"/>
    <w:pPr>
      <w:jc w:val="center"/>
    </w:pPr>
    <w:rPr>
      <w:rFonts w:ascii="Calibri" w:hAnsi="Calibri" w:cs="Calibri"/>
      <w:noProof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C20B48"/>
    <w:rPr>
      <w:rFonts w:ascii="Calibri" w:hAnsi="Calibri" w:cs="Calibri"/>
      <w:noProof/>
      <w:lang w:val="en-US"/>
    </w:rPr>
  </w:style>
  <w:style w:type="paragraph" w:customStyle="1" w:styleId="EndNoteBibliography">
    <w:name w:val="EndNote Bibliography"/>
    <w:basedOn w:val="Normal"/>
    <w:link w:val="EndNoteBibliographyChar"/>
    <w:rsid w:val="00C20B48"/>
    <w:rPr>
      <w:rFonts w:ascii="Calibri" w:hAnsi="Calibri" w:cs="Calibri"/>
      <w:noProof/>
    </w:rPr>
  </w:style>
  <w:style w:type="character" w:customStyle="1" w:styleId="EndNoteBibliographyChar">
    <w:name w:val="EndNote Bibliography Char"/>
    <w:basedOn w:val="DefaultParagraphFont"/>
    <w:link w:val="EndNoteBibliography"/>
    <w:rsid w:val="00C20B48"/>
    <w:rPr>
      <w:rFonts w:ascii="Calibri" w:hAnsi="Calibri" w:cs="Calibri"/>
      <w:noProof/>
      <w:lang w:val="en-US"/>
    </w:rPr>
  </w:style>
  <w:style w:type="character" w:styleId="Hyperlink">
    <w:name w:val="Hyperlink"/>
    <w:basedOn w:val="DefaultParagraphFont"/>
    <w:uiPriority w:val="99"/>
    <w:unhideWhenUsed/>
    <w:rsid w:val="00C20B48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C20B48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32D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32D8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E015C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1"/>
    <w:qFormat/>
    <w:rsid w:val="00BE015C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BE015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1"/>
    <w:qFormat/>
    <w:rsid w:val="00BE015C"/>
    <w:pPr>
      <w:ind w:left="821" w:hanging="720"/>
    </w:pPr>
  </w:style>
  <w:style w:type="paragraph" w:customStyle="1" w:styleId="TableParagraph">
    <w:name w:val="Table Paragraph"/>
    <w:basedOn w:val="Normal"/>
    <w:uiPriority w:val="1"/>
    <w:qFormat/>
    <w:rsid w:val="00BE015C"/>
  </w:style>
  <w:style w:type="paragraph" w:styleId="Header">
    <w:name w:val="header"/>
    <w:basedOn w:val="Normal"/>
    <w:link w:val="HeaderChar"/>
    <w:uiPriority w:val="99"/>
    <w:unhideWhenUsed/>
    <w:rsid w:val="002B07A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07A5"/>
    <w:rPr>
      <w:rFonts w:ascii="Times New Roman" w:eastAsia="Times New Roman" w:hAnsi="Times New Roman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B07A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07A5"/>
    <w:rPr>
      <w:rFonts w:ascii="Times New Roman" w:eastAsia="Times New Roman" w:hAnsi="Times New Roman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015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Heading1">
    <w:name w:val="heading 1"/>
    <w:basedOn w:val="Normal"/>
    <w:link w:val="Heading1Char"/>
    <w:uiPriority w:val="9"/>
    <w:qFormat/>
    <w:rsid w:val="00BE015C"/>
    <w:pPr>
      <w:ind w:left="120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NoteBibliographyTitle">
    <w:name w:val="EndNote Bibliography Title"/>
    <w:basedOn w:val="Normal"/>
    <w:link w:val="EndNoteBibliographyTitleChar"/>
    <w:rsid w:val="00C20B48"/>
    <w:pPr>
      <w:jc w:val="center"/>
    </w:pPr>
    <w:rPr>
      <w:rFonts w:ascii="Calibri" w:hAnsi="Calibri" w:cs="Calibri"/>
      <w:noProof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C20B48"/>
    <w:rPr>
      <w:rFonts w:ascii="Calibri" w:hAnsi="Calibri" w:cs="Calibri"/>
      <w:noProof/>
      <w:lang w:val="en-US"/>
    </w:rPr>
  </w:style>
  <w:style w:type="paragraph" w:customStyle="1" w:styleId="EndNoteBibliography">
    <w:name w:val="EndNote Bibliography"/>
    <w:basedOn w:val="Normal"/>
    <w:link w:val="EndNoteBibliographyChar"/>
    <w:rsid w:val="00C20B48"/>
    <w:rPr>
      <w:rFonts w:ascii="Calibri" w:hAnsi="Calibri" w:cs="Calibri"/>
      <w:noProof/>
    </w:rPr>
  </w:style>
  <w:style w:type="character" w:customStyle="1" w:styleId="EndNoteBibliographyChar">
    <w:name w:val="EndNote Bibliography Char"/>
    <w:basedOn w:val="DefaultParagraphFont"/>
    <w:link w:val="EndNoteBibliography"/>
    <w:rsid w:val="00C20B48"/>
    <w:rPr>
      <w:rFonts w:ascii="Calibri" w:hAnsi="Calibri" w:cs="Calibri"/>
      <w:noProof/>
      <w:lang w:val="en-US"/>
    </w:rPr>
  </w:style>
  <w:style w:type="character" w:styleId="Hyperlink">
    <w:name w:val="Hyperlink"/>
    <w:basedOn w:val="DefaultParagraphFont"/>
    <w:uiPriority w:val="99"/>
    <w:unhideWhenUsed/>
    <w:rsid w:val="00C20B48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C20B48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32D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32D8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E015C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1"/>
    <w:qFormat/>
    <w:rsid w:val="00BE015C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BE015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1"/>
    <w:qFormat/>
    <w:rsid w:val="00BE015C"/>
    <w:pPr>
      <w:ind w:left="821" w:hanging="720"/>
    </w:pPr>
  </w:style>
  <w:style w:type="paragraph" w:customStyle="1" w:styleId="TableParagraph">
    <w:name w:val="Table Paragraph"/>
    <w:basedOn w:val="Normal"/>
    <w:uiPriority w:val="1"/>
    <w:qFormat/>
    <w:rsid w:val="00BE015C"/>
  </w:style>
  <w:style w:type="paragraph" w:styleId="Header">
    <w:name w:val="header"/>
    <w:basedOn w:val="Normal"/>
    <w:link w:val="HeaderChar"/>
    <w:uiPriority w:val="99"/>
    <w:unhideWhenUsed/>
    <w:rsid w:val="002B07A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07A5"/>
    <w:rPr>
      <w:rFonts w:ascii="Times New Roman" w:eastAsia="Times New Roman" w:hAnsi="Times New Roman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B07A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07A5"/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01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24EA68025EFD429E5637E6EF65DB6F" ma:contentTypeVersion="12" ma:contentTypeDescription="Create a new document." ma:contentTypeScope="" ma:versionID="7cbd037eb72d655468738c91aea8b09a">
  <xsd:schema xmlns:xsd="http://www.w3.org/2001/XMLSchema" xmlns:xs="http://www.w3.org/2001/XMLSchema" xmlns:p="http://schemas.microsoft.com/office/2006/metadata/properties" xmlns:ns3="70ed3be0-5dca-400a-ae7a-a51c29d60dd0" xmlns:ns4="eec99fcf-4b2b-4172-ab91-609a4055e306" targetNamespace="http://schemas.microsoft.com/office/2006/metadata/properties" ma:root="true" ma:fieldsID="5ed82d7ca0020a8f3d9603463a1d88fa" ns3:_="" ns4:_="">
    <xsd:import namespace="70ed3be0-5dca-400a-ae7a-a51c29d60dd0"/>
    <xsd:import namespace="eec99fcf-4b2b-4172-ab91-609a4055e30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ed3be0-5dca-400a-ae7a-a51c29d60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c99fcf-4b2b-4172-ab91-609a4055e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9E845F0-BD03-4D43-9F5B-089E3A4D82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0ed3be0-5dca-400a-ae7a-a51c29d60dd0"/>
    <ds:schemaRef ds:uri="eec99fcf-4b2b-4172-ab91-609a4055e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3CE7F47-0278-44F3-8722-BEE19C4BC6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3991A8-22A8-40B3-A230-E9C44D41453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2161</Words>
  <Characters>12319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Vincent Paramanandam</dc:creator>
  <cp:lastModifiedBy>Laxmi S. Dharmapuri</cp:lastModifiedBy>
  <cp:revision>2</cp:revision>
  <dcterms:created xsi:type="dcterms:W3CDTF">2020-12-22T12:24:00Z</dcterms:created>
  <dcterms:modified xsi:type="dcterms:W3CDTF">2020-12-22T12:24:00Z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0x0101005E24EA68025EFD429E5637E6EF65DB6F</vt:lpwstr>
  </property>
</Properties>
</file>